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00" w:lineRule="exact"/>
        <w:jc w:val="center"/>
        <w:rPr>
          <w:rFonts w:ascii="等线" w:hAnsi="等线" w:eastAsia="华文中宋" w:cs="华文中宋"/>
          <w:b/>
          <w:bCs/>
          <w:sz w:val="36"/>
          <w:szCs w:val="36"/>
        </w:rPr>
      </w:pPr>
      <w:r>
        <w:rPr>
          <w:rFonts w:hint="eastAsia" w:ascii="等线" w:hAnsi="等线" w:eastAsia="华文中宋" w:cs="华文中宋"/>
          <w:b/>
          <w:bCs/>
          <w:sz w:val="36"/>
          <w:szCs w:val="36"/>
        </w:rPr>
        <w:t xml:space="preserve"> 湖南艺术职业学院2024年高职单招章程</w:t>
      </w:r>
    </w:p>
    <w:p>
      <w:pPr>
        <w:numPr>
          <w:ilvl w:val="0"/>
          <w:numId w:val="2"/>
        </w:numPr>
        <w:spacing w:before="312" w:beforeLines="100" w:after="156" w:afterLines="50" w:line="680" w:lineRule="exact"/>
        <w:jc w:val="center"/>
        <w:rPr>
          <w:rFonts w:ascii="仿宋" w:hAnsi="仿宋" w:eastAsia="仿宋" w:cs="仿宋"/>
          <w:b/>
          <w:bCs/>
          <w:sz w:val="32"/>
          <w:szCs w:val="32"/>
        </w:rPr>
      </w:pPr>
      <w:r>
        <w:rPr>
          <w:rFonts w:hint="eastAsia" w:ascii="仿宋" w:hAnsi="仿宋" w:eastAsia="仿宋" w:cs="仿宋"/>
          <w:b/>
          <w:bCs/>
          <w:sz w:val="32"/>
          <w:szCs w:val="32"/>
        </w:rPr>
        <w:t>总 则</w:t>
      </w:r>
    </w:p>
    <w:p>
      <w:pPr>
        <w:numPr>
          <w:ilvl w:val="0"/>
          <w:numId w:val="3"/>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根据《中华人民共和国教育法》《中华人民共和国高等教育法》等法律法规及教育部有关规定，依据湖南省教育厅《关于做好湖南省2024年高职（高专）院校单独招生工作的通知》（湘教发〔2023〕49号）有关要求，结合学校单独招生工作（以下简称单招）实际，特制定本章程。</w:t>
      </w:r>
    </w:p>
    <w:p>
      <w:pPr>
        <w:numPr>
          <w:ilvl w:val="0"/>
          <w:numId w:val="3"/>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学校全称：湖南艺术职业学院</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 xml:space="preserve">办学地点：长沙县星沙街道特立东路719号湖南艺术职业学院            </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主管部门：湖南省教育厅</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办学层次：高职（专科）</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 xml:space="preserve">湖南省院校代号：4349 </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 xml:space="preserve">办学类型：公办 </w:t>
      </w:r>
    </w:p>
    <w:p>
      <w:pPr>
        <w:numPr>
          <w:ilvl w:val="0"/>
          <w:numId w:val="3"/>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颁发学历证书的学校名称：湖南艺术职业学院。证书种类：普通高等学校全日制专科毕业证书。</w:t>
      </w:r>
    </w:p>
    <w:p>
      <w:pPr>
        <w:numPr>
          <w:ilvl w:val="0"/>
          <w:numId w:val="3"/>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学校单招工作遵循“公平竞争、公正选拔、公开透明”的原则，坚决执行招生政策规定和纪律要求，严格实施考试招生“阳光工程”。</w:t>
      </w:r>
    </w:p>
    <w:p>
      <w:pPr>
        <w:numPr>
          <w:ilvl w:val="0"/>
          <w:numId w:val="3"/>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学校简介：湖南艺术职业学院是湖南省唯一一所公办综合类艺术高等职业院校。学校前身是1923年创立的湖南私立华中高级艺术职业学校（简称“华中艺专”或“华中高艺”，曾培养了周令钊、陈国钊、李昌鄂、王正德、刘迪耕、李立、欧阳笃材、陈白一、易图境、谢凯等一大批杰出人才）。1951年，“华中艺专”更名改制为湖南省艺术学校，先后经历了湖南省戏曲学校、湖南艺术学院附属戏曲学校、湖南省戏曲艺术学校、湖南省戏剧学校、湖南省艺术学校等发展阶段。2002年，湖南省艺术学校与1979年成立的湖南省电影学校合并升格为湖南艺术职业学院。2018年，湖南艺术职业学院南、北校区整体搬迁至新校区，坐落在国家级生态湿地公园松雅湖东岸，总占地面积380亩，总建筑面积26万平方米，校园硬件设施完善，校园环境典雅别致。</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学校是湖南省示范性高等职业学院、湖南省文明高等学校、全国基层文化队伍培训基地、全国文化干部培训基地、全国非遗传承人群研培基地，先后荣获全国文化工作先进集体、全国学校艺术教育先进单位、湖南省职业教育先进单位等荣誉。</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学校坚持艺术为本，始终围绕立德树人根本任务，秉持“德艺双馨，敢为人先”的校训和“围绕舞台，造就人才；立足文旅，服务社会”的办学理念，不断探索校企合作的道路，加强产、学、研融合，拓展职业教育的新理念、新视野，大力弘扬文艺“工匠精神”，积淀了深厚的人文艺术底蕴，形成了鲜明的办学特色，培养了一大批高素质、多样化的文化艺术人才。现有5万余名校友、数十位“文华奖”“梅花奖”获得者活跃在国内外文化艺术领域，创造了一个又一个艺术表演、艺术教育、艺术创作的辉煌，为湖南乃至全国文艺事业繁荣和经济社会发展做出了重要贡献。其中，新中国成立后，聂南溪、黄铁山、朱辉、李谷一、龚谷音、左大玢、刘赵黔、黄卓、杨霞、张也、雷佳、王丽达、瞿颖、沈伟、吴军、周浩、甘萍、赵双午、刘赛、万茜等蜚声海内外的艺术名家，都是从这里走向全国、走向世界的，学校被誉为“文艺湘军的摇篮”。</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学校现设有戏剧、音乐、舞蹈、数字产业、设计艺术、文化旅游6个专业学院和马克思主义学院、公共教学部（体育部）、湖南省艺术学校（中专部）等教学机构；共开设30个专业，构建了以表演艺术专业群为核心，舞台艺术设计专业群、广播影视专业群、文化旅游专业群为支撑的四大特色专业集群，是湖南省高水平专业群建设项目单位。</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学校立足湖南、面向全国招生，在高职招生的同时，招录五年制、六年制中专学生进行长期艺术培养教育。现有全日制在校生7000余人；专任教师374人，正高职称32人，副高职称110人，多人享受国务院特殊津贴、入选教育部课程思政教学名师和教学团队、文化部优秀专家、文化和旅游部百名优秀戏曲专业教师、全国档案系统青年档案业务骨干、全国技术能手，入选湖南省“121人才工程”、湖南省文艺人才扶持“三百工程”、湖南省“芙蓉计划”湖湘青年英才项目、湖南省职业教育“楚怡”教师教学创新团队、“楚怡”名师工作室，评为省级教学名师、湖南省中青年骨干人才专家、湖南省职业教育“楚怡”教学名师、湖南省技术能手、湖南省文旅行业标兵、湖南省直系统五一劳动奖章等。同时，学校聘请了一大批国内外艺术名家来校任教授艺，师资队伍水平不断提升。</w:t>
      </w:r>
    </w:p>
    <w:p>
      <w:pPr>
        <w:spacing w:line="500" w:lineRule="exact"/>
        <w:ind w:firstLine="560" w:firstLineChars="200"/>
        <w:rPr>
          <w:rFonts w:ascii="等线" w:hAnsi="等线" w:eastAsia="仿宋" w:cs="仿宋"/>
          <w:sz w:val="28"/>
          <w:szCs w:val="28"/>
          <w:u w:val="single"/>
        </w:rPr>
      </w:pPr>
      <w:r>
        <w:rPr>
          <w:rFonts w:hint="eastAsia" w:ascii="等线" w:hAnsi="等线" w:eastAsia="仿宋" w:cs="仿宋"/>
          <w:sz w:val="28"/>
          <w:szCs w:val="28"/>
        </w:rPr>
        <w:t xml:space="preserve">新时代，新征程。在湖南省委、省政府的大力支持下，学校将以建设高水平专业群为契机，以建设职业本科大学为目标，以更加开放的办学理念，创新人才培养机制，提高人才培养质量，推进文化传承发展，服务全省“三高四新”战略定位与使命任务，将学校建设成为：新时代文化艺术领域高技能人才的摇篮；以戏曲为代表的非遗传承保护基地；湖湘文化研学旅游基地；全国文旅干部和湖湘文旅能人培训基地；高水平文艺作品创作推广基地，为新时代文化艺术职业教育高质量发展提供湖艺样板，成为具有湖湘特色的全国文化艺术行业高水平示范院校。      </w:t>
      </w:r>
    </w:p>
    <w:p>
      <w:pPr>
        <w:numPr>
          <w:ilvl w:val="0"/>
          <w:numId w:val="2"/>
        </w:numPr>
        <w:spacing w:before="156" w:beforeLines="50" w:after="156" w:afterLines="50" w:line="680" w:lineRule="exact"/>
        <w:jc w:val="center"/>
        <w:rPr>
          <w:rFonts w:ascii="仿宋" w:hAnsi="仿宋" w:eastAsia="仿宋" w:cs="仿宋"/>
          <w:b/>
          <w:bCs/>
          <w:sz w:val="32"/>
          <w:szCs w:val="32"/>
        </w:rPr>
      </w:pPr>
    </w:p>
    <w:p>
      <w:pPr>
        <w:numPr>
          <w:ilvl w:val="0"/>
          <w:numId w:val="3"/>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 xml:space="preserve"> 学校招生工作领导小组负责研究决定本校单招规模确定、政策制订等重大事项，学校招生就业与创新创业指导处负责单招组织实施的日常工作，学校教务处、公共教学部、各二级学院负责单招的考试组织工作。</w:t>
      </w:r>
    </w:p>
    <w:p>
      <w:pPr>
        <w:numPr>
          <w:ilvl w:val="0"/>
          <w:numId w:val="3"/>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学校纪检监察处负责全程监督检查单招工作。</w:t>
      </w:r>
    </w:p>
    <w:p>
      <w:pPr>
        <w:numPr>
          <w:ilvl w:val="0"/>
          <w:numId w:val="2"/>
        </w:numPr>
        <w:spacing w:before="156" w:beforeLines="50" w:after="156" w:afterLines="50" w:line="680" w:lineRule="exact"/>
        <w:jc w:val="center"/>
        <w:rPr>
          <w:rFonts w:ascii="仿宋" w:hAnsi="仿宋" w:eastAsia="仿宋" w:cs="仿宋"/>
          <w:b/>
          <w:bCs/>
          <w:sz w:val="32"/>
          <w:szCs w:val="32"/>
        </w:rPr>
      </w:pPr>
      <w:r>
        <w:rPr>
          <w:rFonts w:hint="eastAsia" w:ascii="仿宋" w:hAnsi="仿宋" w:eastAsia="仿宋" w:cs="仿宋"/>
          <w:b/>
          <w:bCs/>
          <w:sz w:val="32"/>
          <w:szCs w:val="32"/>
        </w:rPr>
        <w:t>单招报考</w:t>
      </w:r>
    </w:p>
    <w:p>
      <w:pPr>
        <w:numPr>
          <w:ilvl w:val="0"/>
          <w:numId w:val="3"/>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符合我省2024年普通高考（含对口招生考试）报名条件并已参加高考报名的人员均可报考。对于符合报名条件尚未参加高考报名、且有意愿报考单招的人员，须于2024年2月20日－22日到户籍所在县市区招生考试机构指定的报名点办理补报名手续。</w:t>
      </w:r>
    </w:p>
    <w:p>
      <w:pPr>
        <w:numPr>
          <w:ilvl w:val="0"/>
          <w:numId w:val="3"/>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全省单招统一报考和填报志愿时间为2024年2月27日－3月5日，实行网上报考和填报志愿。单招报考设第一志愿和第二志愿，考生可选择1－2所院校在指定网上平台进行报考。</w:t>
      </w:r>
    </w:p>
    <w:p>
      <w:pPr>
        <w:spacing w:line="600" w:lineRule="exact"/>
        <w:ind w:firstLine="560" w:firstLineChars="200"/>
        <w:rPr>
          <w:rFonts w:ascii="等线" w:hAnsi="等线" w:eastAsia="仿宋" w:cs="仿宋"/>
          <w:sz w:val="28"/>
          <w:szCs w:val="28"/>
        </w:rPr>
      </w:pPr>
      <w:r>
        <w:rPr>
          <w:rFonts w:hint="eastAsia" w:ascii="等线" w:hAnsi="等线" w:eastAsia="仿宋" w:cs="仿宋"/>
          <w:sz w:val="28"/>
          <w:szCs w:val="28"/>
        </w:rPr>
        <w:t>在此期间，考生可登录湖南省普通高校招生考试考生综合信息平台（以下简称“考生综合信息平台”）（网址：https://ks.hneao.cn）或“潇湘高考”APP（通过苹果应用商店、腾讯应用宝、华为应用商店、小米应用商店或“考生综合信息平台”首页下载APP）填写报考志愿信息</w:t>
      </w:r>
      <w:r>
        <w:rPr>
          <w:rFonts w:hint="eastAsia" w:ascii="仿宋" w:hAnsi="仿宋" w:eastAsia="仿宋" w:cs="仿宋"/>
          <w:sz w:val="28"/>
          <w:szCs w:val="28"/>
        </w:rPr>
        <w:t>。</w:t>
      </w:r>
      <w:r>
        <w:rPr>
          <w:rFonts w:hint="eastAsia" w:ascii="等线" w:hAnsi="等线" w:eastAsia="仿宋" w:cs="仿宋"/>
          <w:sz w:val="28"/>
          <w:szCs w:val="28"/>
        </w:rPr>
        <w:t>请考生在报考前关注本校网站（www.arthn.com）公布的有关信息。</w:t>
      </w:r>
    </w:p>
    <w:p>
      <w:pPr>
        <w:spacing w:line="600" w:lineRule="exact"/>
        <w:ind w:firstLine="562" w:firstLineChars="200"/>
        <w:rPr>
          <w:rFonts w:ascii="等线" w:hAnsi="等线" w:eastAsia="仿宋" w:cs="仿宋"/>
          <w:sz w:val="28"/>
          <w:szCs w:val="28"/>
        </w:rPr>
      </w:pPr>
      <w:r>
        <w:rPr>
          <w:rFonts w:hint="eastAsia" w:ascii="等线" w:hAnsi="等线" w:eastAsia="仿宋" w:cs="仿宋"/>
          <w:b/>
          <w:bCs/>
          <w:sz w:val="28"/>
          <w:szCs w:val="28"/>
        </w:rPr>
        <w:t>第十条</w:t>
      </w:r>
      <w:r>
        <w:rPr>
          <w:rFonts w:hint="eastAsia" w:ascii="等线" w:hAnsi="等线" w:eastAsia="仿宋" w:cs="仿宋"/>
          <w:sz w:val="28"/>
          <w:szCs w:val="28"/>
        </w:rPr>
        <w:t xml:space="preserve"> 填报专业要求。我校实行专业组志愿，考生在填报我校志愿时，需选择一个专业组中的1-2个专业，并确定是否选择专业服从调剂，我校在录取时只在同一专业组的前2个报考专业中调剂录取，同一专业组的第3个报考专业视为无效。</w:t>
      </w:r>
    </w:p>
    <w:p>
      <w:pPr>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 xml:space="preserve">第十一条 </w:t>
      </w:r>
      <w:r>
        <w:rPr>
          <w:rFonts w:hint="eastAsia" w:ascii="等线" w:hAnsi="等线" w:eastAsia="仿宋" w:cs="仿宋"/>
          <w:sz w:val="28"/>
          <w:szCs w:val="28"/>
        </w:rPr>
        <w:t>退役军人由户籍所在县（市、区）退役军人事务部门进行认定；相关证明材料由考生在规定时间内提供给我校审核，不能按要求提供证明材料的考生只能以普通高中往届生或同等学力人员身份报考，提供虚假证明材料的将依据教育部相关规定取消高考报名资格，已录取的取消录取资格。</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1.退役军人考生资格证明材料。所有退役军人考生均须提供本人身份证复印件及《湖南省2024年高职单招报名身份审核（界定）表》，同时提供以下材料：退役军人提供退出现役证（转业证）。</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2.材料提交时间及方式。考生须在2024年3月5日16：00前通过本人带上身份证原件，将符合上述要求的证明材料原件及复印件。交由我校招生就业与创新创业指导处审核（具体地址：博艺楼1017办公室，联系方式：0731-88838967）。</w:t>
      </w:r>
    </w:p>
    <w:p>
      <w:pPr>
        <w:numPr>
          <w:ilvl w:val="0"/>
          <w:numId w:val="2"/>
        </w:numPr>
        <w:spacing w:before="156" w:beforeLines="50" w:after="156" w:afterLines="50" w:line="680" w:lineRule="exact"/>
        <w:jc w:val="center"/>
        <w:rPr>
          <w:rFonts w:ascii="仿宋" w:hAnsi="仿宋" w:eastAsia="仿宋" w:cs="仿宋"/>
          <w:b/>
          <w:bCs/>
          <w:sz w:val="32"/>
          <w:szCs w:val="32"/>
        </w:rPr>
      </w:pPr>
      <w:r>
        <w:rPr>
          <w:rFonts w:hint="eastAsia" w:ascii="仿宋" w:hAnsi="仿宋" w:eastAsia="仿宋" w:cs="仿宋"/>
          <w:b/>
          <w:bCs/>
          <w:sz w:val="32"/>
          <w:szCs w:val="32"/>
        </w:rPr>
        <w:t>单招计划及专业</w:t>
      </w:r>
    </w:p>
    <w:p>
      <w:pPr>
        <w:widowControl/>
        <w:numPr>
          <w:ilvl w:val="0"/>
          <w:numId w:val="4"/>
        </w:numPr>
        <w:spacing w:line="500" w:lineRule="exact"/>
        <w:ind w:firstLine="560" w:firstLineChars="200"/>
        <w:jc w:val="left"/>
        <w:rPr>
          <w:rFonts w:ascii="等线" w:hAnsi="等线" w:eastAsia="仿宋" w:cs="仿宋"/>
          <w:sz w:val="28"/>
          <w:szCs w:val="28"/>
        </w:rPr>
      </w:pPr>
      <w:r>
        <w:rPr>
          <w:rFonts w:hint="eastAsia" w:ascii="等线" w:hAnsi="等线" w:eastAsia="仿宋" w:cs="仿宋"/>
          <w:sz w:val="28"/>
          <w:szCs w:val="28"/>
        </w:rPr>
        <w:t>我校2024年单招总计划数为600人，其中包含单列计划的退役军人5人。本校2024年招生专业（含方向）共34个。分专业单招计划及学费标准如下表，各专业最终学费标准以2</w:t>
      </w:r>
      <w:r>
        <w:rPr>
          <w:rFonts w:ascii="等线" w:hAnsi="等线" w:eastAsia="仿宋" w:cs="仿宋"/>
          <w:sz w:val="28"/>
          <w:szCs w:val="28"/>
        </w:rPr>
        <w:t>02</w:t>
      </w:r>
      <w:r>
        <w:rPr>
          <w:rFonts w:hint="eastAsia" w:ascii="等线" w:hAnsi="等线" w:eastAsia="仿宋" w:cs="仿宋"/>
          <w:sz w:val="28"/>
          <w:szCs w:val="28"/>
        </w:rPr>
        <w:t xml:space="preserve">4年湖南省物价主管部门审核为准。                         </w:t>
      </w:r>
    </w:p>
    <w:p>
      <w:pPr>
        <w:ind w:firstLine="560" w:firstLineChars="200"/>
        <w:rPr>
          <w:rFonts w:ascii="仿宋" w:hAnsi="仿宋" w:eastAsia="仿宋" w:cs="仿宋"/>
          <w:sz w:val="28"/>
          <w:szCs w:val="28"/>
        </w:rPr>
      </w:pPr>
      <w:r>
        <w:rPr>
          <w:rFonts w:hint="eastAsia" w:ascii="仿宋" w:hAnsi="仿宋" w:eastAsia="仿宋" w:cs="仿宋"/>
          <w:sz w:val="28"/>
          <w:szCs w:val="28"/>
        </w:rPr>
        <w:t>1.根据用人单位的需求，报考舞蹈表演专业男生身高170以上，女生身高160以上，空中乘务专业男生身高172以上，女生身高162以上，双眼矫正视力在（E型）表上不低于4.8，报考文物修复与保护、影视动画、摄影摄像技术专业学生无色弱、色盲，为顺利就业，未达到要求考生，请慎重报考以上专业。</w:t>
      </w:r>
    </w:p>
    <w:p>
      <w:pPr>
        <w:pStyle w:val="10"/>
        <w:ind w:firstLine="560" w:firstLineChars="200"/>
        <w:rPr>
          <w:rFonts w:ascii="仿宋" w:hAnsi="仿宋" w:eastAsia="仿宋" w:cs="仿宋"/>
          <w:sz w:val="28"/>
          <w:szCs w:val="28"/>
        </w:rPr>
      </w:pPr>
      <w:r>
        <w:rPr>
          <w:rFonts w:hint="eastAsia" w:ascii="仿宋" w:hAnsi="仿宋" w:eastAsia="仿宋" w:cs="仿宋"/>
          <w:sz w:val="28"/>
          <w:szCs w:val="28"/>
        </w:rPr>
        <w:t>2.单招专业、学费标准、职业技能测试考试内容及分值比例：</w:t>
      </w:r>
    </w:p>
    <w:tbl>
      <w:tblPr>
        <w:tblStyle w:val="12"/>
        <w:tblpPr w:leftFromText="180" w:rightFromText="180" w:vertAnchor="text" w:horzAnchor="margin" w:tblpXSpec="center" w:tblpY="-827"/>
        <w:tblOverlap w:val="never"/>
        <w:tblW w:w="6543" w:type="pct"/>
        <w:tblInd w:w="0" w:type="dxa"/>
        <w:tblLayout w:type="autofit"/>
        <w:tblCellMar>
          <w:top w:w="0" w:type="dxa"/>
          <w:left w:w="108" w:type="dxa"/>
          <w:bottom w:w="0" w:type="dxa"/>
          <w:right w:w="108" w:type="dxa"/>
        </w:tblCellMar>
      </w:tblPr>
      <w:tblGrid>
        <w:gridCol w:w="2014"/>
        <w:gridCol w:w="797"/>
        <w:gridCol w:w="5327"/>
        <w:gridCol w:w="1786"/>
        <w:gridCol w:w="1933"/>
      </w:tblGrid>
      <w:tr>
        <w:tblPrEx>
          <w:tblCellMar>
            <w:top w:w="0" w:type="dxa"/>
            <w:left w:w="108" w:type="dxa"/>
            <w:bottom w:w="0" w:type="dxa"/>
            <w:right w:w="108" w:type="dxa"/>
          </w:tblCellMar>
        </w:tblPrEx>
        <w:trPr>
          <w:trHeight w:val="274" w:hRule="atLeast"/>
        </w:trPr>
        <w:tc>
          <w:tcPr>
            <w:tcW w:w="8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专业组</w:t>
            </w:r>
          </w:p>
        </w:tc>
        <w:tc>
          <w:tcPr>
            <w:tcW w:w="33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224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专业名称</w:t>
            </w:r>
          </w:p>
        </w:tc>
        <w:tc>
          <w:tcPr>
            <w:tcW w:w="75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分专业计划数</w:t>
            </w:r>
          </w:p>
        </w:tc>
        <w:tc>
          <w:tcPr>
            <w:tcW w:w="815" w:type="pct"/>
            <w:tcBorders>
              <w:top w:val="single" w:color="auto" w:sz="4" w:space="0"/>
              <w:left w:val="nil"/>
              <w:bottom w:val="single" w:color="auto" w:sz="4" w:space="0"/>
              <w:right w:val="single" w:color="auto" w:sz="4" w:space="0"/>
            </w:tcBorders>
          </w:tcPr>
          <w:p>
            <w:pPr>
              <w:widowControl/>
              <w:rPr>
                <w:rFonts w:ascii="宋体" w:hAnsi="宋体" w:cs="宋体"/>
                <w:b/>
                <w:bCs/>
                <w:kern w:val="0"/>
                <w:sz w:val="24"/>
              </w:rPr>
            </w:pPr>
            <w:r>
              <w:rPr>
                <w:rFonts w:hint="eastAsia" w:ascii="宋体" w:hAnsi="宋体" w:cs="宋体"/>
                <w:b/>
                <w:bCs/>
                <w:kern w:val="0"/>
                <w:sz w:val="24"/>
              </w:rPr>
              <w:t>学费标准（元）</w:t>
            </w:r>
          </w:p>
        </w:tc>
      </w:tr>
      <w:tr>
        <w:tblPrEx>
          <w:tblCellMar>
            <w:top w:w="0" w:type="dxa"/>
            <w:left w:w="108" w:type="dxa"/>
            <w:bottom w:w="0" w:type="dxa"/>
            <w:right w:w="108" w:type="dxa"/>
          </w:tblCellMar>
        </w:tblPrEx>
        <w:trPr>
          <w:trHeight w:val="375" w:hRule="atLeast"/>
        </w:trPr>
        <w:tc>
          <w:tcPr>
            <w:tcW w:w="8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color w:val="000000" w:themeColor="text1"/>
                <w:kern w:val="0"/>
                <w:sz w:val="24"/>
                <w14:textFill>
                  <w14:solidFill>
                    <w14:schemeClr w14:val="tx1"/>
                  </w14:solidFill>
                </w14:textFill>
              </w:rPr>
              <w:t>第一专业组</w:t>
            </w:r>
          </w:p>
        </w:tc>
        <w:tc>
          <w:tcPr>
            <w:tcW w:w="33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22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戏曲音乐</w:t>
            </w:r>
          </w:p>
        </w:tc>
        <w:tc>
          <w:tcPr>
            <w:tcW w:w="7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8</w:t>
            </w:r>
          </w:p>
        </w:tc>
        <w:tc>
          <w:tcPr>
            <w:tcW w:w="815" w:type="pct"/>
            <w:tcBorders>
              <w:top w:val="nil"/>
              <w:left w:val="nil"/>
              <w:bottom w:val="single" w:color="auto" w:sz="4" w:space="0"/>
              <w:right w:val="single" w:color="auto" w:sz="4" w:space="0"/>
            </w:tcBorders>
          </w:tcPr>
          <w:p>
            <w:pPr>
              <w:widowControl/>
              <w:jc w:val="center"/>
              <w:rPr>
                <w:rFonts w:ascii="宋体" w:hAnsi="宋体" w:cs="宋体"/>
                <w:b/>
                <w:bCs/>
                <w:kern w:val="0"/>
                <w:sz w:val="24"/>
              </w:rPr>
            </w:pPr>
            <w:r>
              <w:rPr>
                <w:rFonts w:hint="eastAsia" w:ascii="宋体" w:hAnsi="宋体" w:cs="宋体"/>
                <w:b/>
                <w:bCs/>
                <w:kern w:val="0"/>
                <w:sz w:val="24"/>
              </w:rPr>
              <w:t>7500</w:t>
            </w:r>
          </w:p>
        </w:tc>
      </w:tr>
      <w:tr>
        <w:tblPrEx>
          <w:tblCellMar>
            <w:top w:w="0" w:type="dxa"/>
            <w:left w:w="108" w:type="dxa"/>
            <w:bottom w:w="0" w:type="dxa"/>
            <w:right w:w="108" w:type="dxa"/>
          </w:tblCellMar>
        </w:tblPrEx>
        <w:trPr>
          <w:trHeight w:val="375" w:hRule="atLeast"/>
        </w:trPr>
        <w:tc>
          <w:tcPr>
            <w:tcW w:w="84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第二专业组</w:t>
            </w:r>
          </w:p>
        </w:tc>
        <w:tc>
          <w:tcPr>
            <w:tcW w:w="33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22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音乐表演（国乐与管弦方向）</w:t>
            </w:r>
          </w:p>
        </w:tc>
        <w:tc>
          <w:tcPr>
            <w:tcW w:w="7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10</w:t>
            </w:r>
          </w:p>
        </w:tc>
        <w:tc>
          <w:tcPr>
            <w:tcW w:w="815" w:type="pct"/>
            <w:tcBorders>
              <w:top w:val="nil"/>
              <w:left w:val="nil"/>
              <w:bottom w:val="single" w:color="auto" w:sz="4" w:space="0"/>
              <w:right w:val="single" w:color="auto" w:sz="4" w:space="0"/>
            </w:tcBorders>
          </w:tcPr>
          <w:p>
            <w:pPr>
              <w:widowControl/>
              <w:jc w:val="center"/>
              <w:rPr>
                <w:rFonts w:ascii="宋体" w:hAnsi="宋体" w:cs="宋体"/>
                <w:b/>
                <w:bCs/>
                <w:kern w:val="0"/>
                <w:sz w:val="24"/>
              </w:rPr>
            </w:pPr>
            <w:r>
              <w:rPr>
                <w:rFonts w:hint="eastAsia" w:ascii="宋体" w:hAnsi="宋体" w:cs="宋体"/>
                <w:b/>
                <w:bCs/>
                <w:kern w:val="0"/>
                <w:sz w:val="24"/>
              </w:rPr>
              <w:t>7500</w:t>
            </w:r>
          </w:p>
        </w:tc>
      </w:tr>
      <w:tr>
        <w:tblPrEx>
          <w:tblCellMar>
            <w:top w:w="0" w:type="dxa"/>
            <w:left w:w="108" w:type="dxa"/>
            <w:bottom w:w="0" w:type="dxa"/>
            <w:right w:w="108" w:type="dxa"/>
          </w:tblCellMar>
        </w:tblPrEx>
        <w:trPr>
          <w:trHeight w:val="375" w:hRule="atLeast"/>
        </w:trPr>
        <w:tc>
          <w:tcPr>
            <w:tcW w:w="84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第三专业组</w:t>
            </w:r>
          </w:p>
        </w:tc>
        <w:tc>
          <w:tcPr>
            <w:tcW w:w="33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3</w:t>
            </w:r>
          </w:p>
        </w:tc>
        <w:tc>
          <w:tcPr>
            <w:tcW w:w="22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音乐表演（键盘方向）</w:t>
            </w:r>
          </w:p>
        </w:tc>
        <w:tc>
          <w:tcPr>
            <w:tcW w:w="7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10</w:t>
            </w:r>
          </w:p>
        </w:tc>
        <w:tc>
          <w:tcPr>
            <w:tcW w:w="815" w:type="pct"/>
            <w:tcBorders>
              <w:top w:val="nil"/>
              <w:left w:val="nil"/>
              <w:bottom w:val="single" w:color="auto" w:sz="4" w:space="0"/>
              <w:right w:val="single" w:color="auto" w:sz="4" w:space="0"/>
            </w:tcBorders>
          </w:tcPr>
          <w:p>
            <w:pPr>
              <w:widowControl/>
              <w:jc w:val="center"/>
              <w:rPr>
                <w:rFonts w:ascii="宋体" w:hAnsi="宋体" w:cs="宋体"/>
                <w:b/>
                <w:bCs/>
                <w:kern w:val="0"/>
                <w:sz w:val="24"/>
              </w:rPr>
            </w:pPr>
            <w:r>
              <w:rPr>
                <w:rFonts w:hint="eastAsia" w:ascii="宋体" w:hAnsi="宋体" w:cs="宋体"/>
                <w:b/>
                <w:bCs/>
                <w:kern w:val="0"/>
                <w:sz w:val="24"/>
              </w:rPr>
              <w:t>7500</w:t>
            </w:r>
          </w:p>
        </w:tc>
      </w:tr>
      <w:tr>
        <w:tblPrEx>
          <w:tblCellMar>
            <w:top w:w="0" w:type="dxa"/>
            <w:left w:w="108" w:type="dxa"/>
            <w:bottom w:w="0" w:type="dxa"/>
            <w:right w:w="108" w:type="dxa"/>
          </w:tblCellMar>
        </w:tblPrEx>
        <w:trPr>
          <w:trHeight w:val="375" w:hRule="atLeast"/>
        </w:trPr>
        <w:tc>
          <w:tcPr>
            <w:tcW w:w="84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第四专业组</w:t>
            </w:r>
          </w:p>
        </w:tc>
        <w:tc>
          <w:tcPr>
            <w:tcW w:w="33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4</w:t>
            </w:r>
          </w:p>
        </w:tc>
        <w:tc>
          <w:tcPr>
            <w:tcW w:w="22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音乐制作</w:t>
            </w:r>
          </w:p>
        </w:tc>
        <w:tc>
          <w:tcPr>
            <w:tcW w:w="7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5</w:t>
            </w:r>
          </w:p>
        </w:tc>
        <w:tc>
          <w:tcPr>
            <w:tcW w:w="815" w:type="pct"/>
            <w:tcBorders>
              <w:top w:val="nil"/>
              <w:left w:val="nil"/>
              <w:bottom w:val="single" w:color="auto" w:sz="4" w:space="0"/>
              <w:right w:val="single" w:color="auto" w:sz="4" w:space="0"/>
            </w:tcBorders>
          </w:tcPr>
          <w:p>
            <w:pPr>
              <w:widowControl/>
              <w:jc w:val="center"/>
              <w:rPr>
                <w:rFonts w:ascii="宋体" w:hAnsi="宋体" w:cs="宋体"/>
                <w:b/>
                <w:bCs/>
                <w:kern w:val="0"/>
                <w:sz w:val="24"/>
              </w:rPr>
            </w:pPr>
            <w:r>
              <w:rPr>
                <w:rFonts w:hint="eastAsia" w:ascii="宋体" w:hAnsi="宋体" w:cs="宋体"/>
                <w:b/>
                <w:bCs/>
                <w:kern w:val="0"/>
                <w:sz w:val="24"/>
              </w:rPr>
              <w:t>7500</w:t>
            </w:r>
          </w:p>
        </w:tc>
      </w:tr>
      <w:tr>
        <w:tblPrEx>
          <w:tblCellMar>
            <w:top w:w="0" w:type="dxa"/>
            <w:left w:w="108" w:type="dxa"/>
            <w:bottom w:w="0" w:type="dxa"/>
            <w:right w:w="108" w:type="dxa"/>
          </w:tblCellMar>
        </w:tblPrEx>
        <w:trPr>
          <w:trHeight w:val="375" w:hRule="atLeast"/>
        </w:trPr>
        <w:tc>
          <w:tcPr>
            <w:tcW w:w="84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第五专业组</w:t>
            </w:r>
          </w:p>
        </w:tc>
        <w:tc>
          <w:tcPr>
            <w:tcW w:w="33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5</w:t>
            </w:r>
          </w:p>
        </w:tc>
        <w:tc>
          <w:tcPr>
            <w:tcW w:w="22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钢琴调律</w:t>
            </w:r>
          </w:p>
        </w:tc>
        <w:tc>
          <w:tcPr>
            <w:tcW w:w="7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3</w:t>
            </w:r>
          </w:p>
        </w:tc>
        <w:tc>
          <w:tcPr>
            <w:tcW w:w="815" w:type="pct"/>
            <w:tcBorders>
              <w:top w:val="nil"/>
              <w:left w:val="nil"/>
              <w:bottom w:val="single" w:color="auto" w:sz="4" w:space="0"/>
              <w:right w:val="single" w:color="auto" w:sz="4" w:space="0"/>
            </w:tcBorders>
          </w:tcPr>
          <w:p>
            <w:pPr>
              <w:widowControl/>
              <w:jc w:val="center"/>
              <w:rPr>
                <w:rFonts w:ascii="宋体" w:hAnsi="宋体" w:cs="宋体"/>
                <w:b/>
                <w:bCs/>
                <w:kern w:val="0"/>
                <w:sz w:val="24"/>
              </w:rPr>
            </w:pPr>
            <w:r>
              <w:rPr>
                <w:rFonts w:hint="eastAsia" w:ascii="宋体" w:hAnsi="宋体" w:cs="宋体"/>
                <w:b/>
                <w:bCs/>
                <w:kern w:val="0"/>
                <w:sz w:val="24"/>
              </w:rPr>
              <w:t>7500</w:t>
            </w:r>
          </w:p>
        </w:tc>
      </w:tr>
      <w:tr>
        <w:tblPrEx>
          <w:tblCellMar>
            <w:top w:w="0" w:type="dxa"/>
            <w:left w:w="108" w:type="dxa"/>
            <w:bottom w:w="0" w:type="dxa"/>
            <w:right w:w="108" w:type="dxa"/>
          </w:tblCellMar>
        </w:tblPrEx>
        <w:trPr>
          <w:trHeight w:val="375" w:hRule="atLeast"/>
        </w:trPr>
        <w:tc>
          <w:tcPr>
            <w:tcW w:w="8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第六专业组</w:t>
            </w:r>
          </w:p>
        </w:tc>
        <w:tc>
          <w:tcPr>
            <w:tcW w:w="33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6</w:t>
            </w:r>
          </w:p>
        </w:tc>
        <w:tc>
          <w:tcPr>
            <w:tcW w:w="22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音乐表演（中国歌剧方向）</w:t>
            </w:r>
          </w:p>
        </w:tc>
        <w:tc>
          <w:tcPr>
            <w:tcW w:w="7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10</w:t>
            </w:r>
          </w:p>
        </w:tc>
        <w:tc>
          <w:tcPr>
            <w:tcW w:w="815" w:type="pct"/>
            <w:tcBorders>
              <w:top w:val="nil"/>
              <w:left w:val="nil"/>
              <w:bottom w:val="single" w:color="auto" w:sz="4" w:space="0"/>
              <w:right w:val="single" w:color="auto" w:sz="4" w:space="0"/>
            </w:tcBorders>
          </w:tcPr>
          <w:p>
            <w:pPr>
              <w:widowControl/>
              <w:jc w:val="center"/>
              <w:rPr>
                <w:rFonts w:ascii="宋体" w:hAnsi="宋体" w:cs="宋体"/>
                <w:b/>
                <w:bCs/>
                <w:kern w:val="0"/>
                <w:sz w:val="24"/>
              </w:rPr>
            </w:pPr>
            <w:r>
              <w:rPr>
                <w:rFonts w:hint="eastAsia" w:ascii="宋体" w:hAnsi="宋体" w:cs="宋体"/>
                <w:b/>
                <w:bCs/>
                <w:kern w:val="0"/>
                <w:sz w:val="24"/>
              </w:rPr>
              <w:t>7500</w:t>
            </w:r>
          </w:p>
        </w:tc>
      </w:tr>
      <w:tr>
        <w:tblPrEx>
          <w:tblCellMar>
            <w:top w:w="0" w:type="dxa"/>
            <w:left w:w="108" w:type="dxa"/>
            <w:bottom w:w="0" w:type="dxa"/>
            <w:right w:w="108" w:type="dxa"/>
          </w:tblCellMar>
        </w:tblPrEx>
        <w:trPr>
          <w:trHeight w:val="375" w:hRule="atLeast"/>
        </w:trPr>
        <w:tc>
          <w:tcPr>
            <w:tcW w:w="84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第七专业组</w:t>
            </w:r>
          </w:p>
        </w:tc>
        <w:tc>
          <w:tcPr>
            <w:tcW w:w="33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7</w:t>
            </w:r>
          </w:p>
        </w:tc>
        <w:tc>
          <w:tcPr>
            <w:tcW w:w="2246" w:type="pct"/>
            <w:tcBorders>
              <w:top w:val="nil"/>
              <w:left w:val="nil"/>
              <w:bottom w:val="single" w:color="auto" w:sz="4" w:space="0"/>
              <w:right w:val="single" w:color="auto" w:sz="4" w:space="0"/>
            </w:tcBorders>
            <w:shd w:val="clear" w:color="auto" w:fill="auto"/>
            <w:vAlign w:val="center"/>
          </w:tcPr>
          <w:p>
            <w:pPr>
              <w:widowControl/>
              <w:ind w:firstLine="482" w:firstLineChars="200"/>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音乐表演（民族美声演唱方向）</w:t>
            </w:r>
          </w:p>
        </w:tc>
        <w:tc>
          <w:tcPr>
            <w:tcW w:w="7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20</w:t>
            </w:r>
          </w:p>
        </w:tc>
        <w:tc>
          <w:tcPr>
            <w:tcW w:w="815" w:type="pct"/>
            <w:tcBorders>
              <w:top w:val="nil"/>
              <w:left w:val="nil"/>
              <w:bottom w:val="single" w:color="auto" w:sz="4" w:space="0"/>
              <w:right w:val="single" w:color="auto" w:sz="4" w:space="0"/>
            </w:tcBorders>
          </w:tcPr>
          <w:p>
            <w:pPr>
              <w:widowControl/>
              <w:jc w:val="center"/>
              <w:rPr>
                <w:rFonts w:ascii="宋体" w:hAnsi="宋体" w:cs="宋体"/>
                <w:b/>
                <w:bCs/>
                <w:kern w:val="0"/>
                <w:sz w:val="24"/>
              </w:rPr>
            </w:pPr>
            <w:r>
              <w:rPr>
                <w:rFonts w:hint="eastAsia" w:ascii="宋体" w:hAnsi="宋体" w:cs="宋体"/>
                <w:b/>
                <w:bCs/>
                <w:kern w:val="0"/>
                <w:sz w:val="24"/>
              </w:rPr>
              <w:t>7500</w:t>
            </w:r>
          </w:p>
        </w:tc>
      </w:tr>
      <w:tr>
        <w:tblPrEx>
          <w:tblCellMar>
            <w:top w:w="0" w:type="dxa"/>
            <w:left w:w="108" w:type="dxa"/>
            <w:bottom w:w="0" w:type="dxa"/>
            <w:right w:w="108" w:type="dxa"/>
          </w:tblCellMar>
        </w:tblPrEx>
        <w:trPr>
          <w:trHeight w:val="375" w:hRule="atLeast"/>
        </w:trPr>
        <w:tc>
          <w:tcPr>
            <w:tcW w:w="84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第八专业组</w:t>
            </w:r>
          </w:p>
        </w:tc>
        <w:tc>
          <w:tcPr>
            <w:tcW w:w="33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8</w:t>
            </w:r>
          </w:p>
        </w:tc>
        <w:tc>
          <w:tcPr>
            <w:tcW w:w="22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音乐表演（流行演唱演奏方向）</w:t>
            </w:r>
          </w:p>
        </w:tc>
        <w:tc>
          <w:tcPr>
            <w:tcW w:w="7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12</w:t>
            </w:r>
          </w:p>
        </w:tc>
        <w:tc>
          <w:tcPr>
            <w:tcW w:w="815" w:type="pct"/>
            <w:tcBorders>
              <w:top w:val="nil"/>
              <w:left w:val="nil"/>
              <w:bottom w:val="single" w:color="auto" w:sz="4" w:space="0"/>
              <w:right w:val="single" w:color="auto" w:sz="4" w:space="0"/>
            </w:tcBorders>
          </w:tcPr>
          <w:p>
            <w:pPr>
              <w:widowControl/>
              <w:jc w:val="center"/>
              <w:rPr>
                <w:rFonts w:ascii="宋体" w:hAnsi="宋体" w:cs="宋体"/>
                <w:b/>
                <w:bCs/>
                <w:kern w:val="0"/>
                <w:sz w:val="24"/>
              </w:rPr>
            </w:pPr>
            <w:r>
              <w:rPr>
                <w:rFonts w:hint="eastAsia" w:ascii="宋体" w:hAnsi="宋体" w:cs="宋体"/>
                <w:b/>
                <w:bCs/>
                <w:kern w:val="0"/>
                <w:sz w:val="24"/>
              </w:rPr>
              <w:t>7500</w:t>
            </w:r>
          </w:p>
        </w:tc>
      </w:tr>
      <w:tr>
        <w:tblPrEx>
          <w:tblCellMar>
            <w:top w:w="0" w:type="dxa"/>
            <w:left w:w="108" w:type="dxa"/>
            <w:bottom w:w="0" w:type="dxa"/>
            <w:right w:w="108" w:type="dxa"/>
          </w:tblCellMar>
        </w:tblPrEx>
        <w:trPr>
          <w:trHeight w:val="375" w:hRule="atLeast"/>
        </w:trPr>
        <w:tc>
          <w:tcPr>
            <w:tcW w:w="84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第九专业组</w:t>
            </w:r>
          </w:p>
        </w:tc>
        <w:tc>
          <w:tcPr>
            <w:tcW w:w="33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9</w:t>
            </w:r>
          </w:p>
        </w:tc>
        <w:tc>
          <w:tcPr>
            <w:tcW w:w="22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戏剧影视表演</w:t>
            </w:r>
          </w:p>
        </w:tc>
        <w:tc>
          <w:tcPr>
            <w:tcW w:w="7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20</w:t>
            </w:r>
          </w:p>
        </w:tc>
        <w:tc>
          <w:tcPr>
            <w:tcW w:w="815" w:type="pct"/>
            <w:tcBorders>
              <w:top w:val="nil"/>
              <w:left w:val="nil"/>
              <w:bottom w:val="single" w:color="auto" w:sz="4" w:space="0"/>
              <w:right w:val="single" w:color="auto" w:sz="4" w:space="0"/>
            </w:tcBorders>
          </w:tcPr>
          <w:p>
            <w:pPr>
              <w:widowControl/>
              <w:jc w:val="center"/>
              <w:rPr>
                <w:rFonts w:ascii="宋体" w:hAnsi="宋体" w:cs="宋体"/>
                <w:b/>
                <w:bCs/>
                <w:kern w:val="0"/>
                <w:sz w:val="24"/>
              </w:rPr>
            </w:pPr>
            <w:r>
              <w:rPr>
                <w:rFonts w:hint="eastAsia" w:ascii="宋体" w:hAnsi="宋体" w:cs="宋体"/>
                <w:b/>
                <w:bCs/>
                <w:kern w:val="0"/>
                <w:sz w:val="24"/>
              </w:rPr>
              <w:t>7500</w:t>
            </w:r>
          </w:p>
        </w:tc>
      </w:tr>
      <w:tr>
        <w:tblPrEx>
          <w:tblCellMar>
            <w:top w:w="0" w:type="dxa"/>
            <w:left w:w="108" w:type="dxa"/>
            <w:bottom w:w="0" w:type="dxa"/>
            <w:right w:w="108" w:type="dxa"/>
          </w:tblCellMar>
        </w:tblPrEx>
        <w:trPr>
          <w:trHeight w:val="375" w:hRule="atLeast"/>
        </w:trPr>
        <w:tc>
          <w:tcPr>
            <w:tcW w:w="84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第十专业组</w:t>
            </w:r>
          </w:p>
        </w:tc>
        <w:tc>
          <w:tcPr>
            <w:tcW w:w="33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10</w:t>
            </w:r>
          </w:p>
        </w:tc>
        <w:tc>
          <w:tcPr>
            <w:tcW w:w="22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音乐剧表演</w:t>
            </w:r>
          </w:p>
        </w:tc>
        <w:tc>
          <w:tcPr>
            <w:tcW w:w="7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25</w:t>
            </w:r>
          </w:p>
        </w:tc>
        <w:tc>
          <w:tcPr>
            <w:tcW w:w="815" w:type="pct"/>
            <w:tcBorders>
              <w:top w:val="nil"/>
              <w:left w:val="nil"/>
              <w:bottom w:val="single" w:color="auto" w:sz="4" w:space="0"/>
              <w:right w:val="single" w:color="auto" w:sz="4" w:space="0"/>
            </w:tcBorders>
          </w:tcPr>
          <w:p>
            <w:pPr>
              <w:widowControl/>
              <w:jc w:val="center"/>
              <w:rPr>
                <w:rFonts w:ascii="宋体" w:hAnsi="宋体" w:cs="宋体"/>
                <w:b/>
                <w:bCs/>
                <w:kern w:val="0"/>
                <w:sz w:val="24"/>
              </w:rPr>
            </w:pPr>
            <w:r>
              <w:rPr>
                <w:rFonts w:hint="eastAsia" w:ascii="宋体" w:hAnsi="宋体" w:cs="宋体"/>
                <w:b/>
                <w:bCs/>
                <w:kern w:val="0"/>
                <w:sz w:val="24"/>
              </w:rPr>
              <w:t>7500</w:t>
            </w:r>
          </w:p>
        </w:tc>
      </w:tr>
      <w:tr>
        <w:tblPrEx>
          <w:tblCellMar>
            <w:top w:w="0" w:type="dxa"/>
            <w:left w:w="108" w:type="dxa"/>
            <w:bottom w:w="0" w:type="dxa"/>
            <w:right w:w="108" w:type="dxa"/>
          </w:tblCellMar>
        </w:tblPrEx>
        <w:trPr>
          <w:trHeight w:val="375" w:hRule="atLeast"/>
        </w:trPr>
        <w:tc>
          <w:tcPr>
            <w:tcW w:w="84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第十一专业组</w:t>
            </w:r>
          </w:p>
        </w:tc>
        <w:tc>
          <w:tcPr>
            <w:tcW w:w="33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11</w:t>
            </w:r>
          </w:p>
        </w:tc>
        <w:tc>
          <w:tcPr>
            <w:tcW w:w="224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kern w:val="0"/>
                <w:sz w:val="24"/>
                <w:lang w:bidi="ar"/>
                <w14:textFill>
                  <w14:solidFill>
                    <w14:schemeClr w14:val="tx1"/>
                  </w14:solidFill>
                </w14:textFill>
              </w:rPr>
              <w:t>戏曲表演（湘剧方向）</w:t>
            </w:r>
          </w:p>
        </w:tc>
        <w:tc>
          <w:tcPr>
            <w:tcW w:w="7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15</w:t>
            </w:r>
          </w:p>
        </w:tc>
        <w:tc>
          <w:tcPr>
            <w:tcW w:w="815" w:type="pct"/>
            <w:tcBorders>
              <w:top w:val="nil"/>
              <w:left w:val="nil"/>
              <w:bottom w:val="single" w:color="auto" w:sz="4" w:space="0"/>
              <w:right w:val="single" w:color="auto" w:sz="4" w:space="0"/>
            </w:tcBorders>
          </w:tcPr>
          <w:p>
            <w:pPr>
              <w:widowControl/>
              <w:jc w:val="center"/>
              <w:rPr>
                <w:rFonts w:ascii="宋体" w:hAnsi="宋体" w:cs="宋体"/>
                <w:b/>
                <w:bCs/>
                <w:kern w:val="0"/>
                <w:sz w:val="24"/>
              </w:rPr>
            </w:pPr>
            <w:r>
              <w:rPr>
                <w:rFonts w:hint="eastAsia" w:ascii="宋体" w:hAnsi="宋体" w:cs="宋体"/>
                <w:b/>
                <w:bCs/>
                <w:kern w:val="0"/>
                <w:sz w:val="24"/>
              </w:rPr>
              <w:t>7500</w:t>
            </w:r>
          </w:p>
        </w:tc>
      </w:tr>
      <w:tr>
        <w:tblPrEx>
          <w:tblCellMar>
            <w:top w:w="0" w:type="dxa"/>
            <w:left w:w="108" w:type="dxa"/>
            <w:bottom w:w="0" w:type="dxa"/>
            <w:right w:w="108" w:type="dxa"/>
          </w:tblCellMar>
        </w:tblPrEx>
        <w:trPr>
          <w:trHeight w:val="375" w:hRule="atLeast"/>
        </w:trPr>
        <w:tc>
          <w:tcPr>
            <w:tcW w:w="84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第十二专业组</w:t>
            </w:r>
          </w:p>
        </w:tc>
        <w:tc>
          <w:tcPr>
            <w:tcW w:w="33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12</w:t>
            </w:r>
          </w:p>
        </w:tc>
        <w:tc>
          <w:tcPr>
            <w:tcW w:w="224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themeColor="text1"/>
                <w:kern w:val="0"/>
                <w:sz w:val="24"/>
                <w:lang w:bidi="ar"/>
                <w14:textFill>
                  <w14:solidFill>
                    <w14:schemeClr w14:val="tx1"/>
                  </w14:solidFill>
                </w14:textFill>
              </w:rPr>
            </w:pPr>
            <w:r>
              <w:rPr>
                <w:rFonts w:hint="eastAsia" w:ascii="宋体" w:hAnsi="宋体" w:cs="宋体"/>
                <w:b/>
                <w:bCs/>
                <w:color w:val="000000" w:themeColor="text1"/>
                <w:kern w:val="0"/>
                <w:sz w:val="24"/>
                <w:lang w:bidi="ar"/>
                <w14:textFill>
                  <w14:solidFill>
                    <w14:schemeClr w14:val="tx1"/>
                  </w14:solidFill>
                </w14:textFill>
              </w:rPr>
              <w:t>戏曲表演（杂技方向）</w:t>
            </w:r>
          </w:p>
        </w:tc>
        <w:tc>
          <w:tcPr>
            <w:tcW w:w="7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31</w:t>
            </w:r>
          </w:p>
        </w:tc>
        <w:tc>
          <w:tcPr>
            <w:tcW w:w="815" w:type="pct"/>
            <w:tcBorders>
              <w:top w:val="nil"/>
              <w:left w:val="nil"/>
              <w:bottom w:val="single" w:color="auto" w:sz="4" w:space="0"/>
              <w:right w:val="single" w:color="auto" w:sz="4" w:space="0"/>
            </w:tcBorders>
          </w:tcPr>
          <w:p>
            <w:pPr>
              <w:widowControl/>
              <w:jc w:val="center"/>
              <w:rPr>
                <w:rFonts w:ascii="宋体" w:hAnsi="宋体" w:cs="宋体"/>
                <w:b/>
                <w:bCs/>
                <w:kern w:val="0"/>
                <w:sz w:val="24"/>
              </w:rPr>
            </w:pPr>
            <w:r>
              <w:rPr>
                <w:rFonts w:hint="eastAsia" w:ascii="宋体" w:hAnsi="宋体" w:cs="宋体"/>
                <w:b/>
                <w:bCs/>
                <w:kern w:val="0"/>
                <w:sz w:val="24"/>
              </w:rPr>
              <w:t>7500</w:t>
            </w:r>
          </w:p>
        </w:tc>
      </w:tr>
      <w:tr>
        <w:tblPrEx>
          <w:tblCellMar>
            <w:top w:w="0" w:type="dxa"/>
            <w:left w:w="108" w:type="dxa"/>
            <w:bottom w:w="0" w:type="dxa"/>
            <w:right w:w="108" w:type="dxa"/>
          </w:tblCellMar>
        </w:tblPrEx>
        <w:trPr>
          <w:trHeight w:val="375" w:hRule="atLeast"/>
        </w:trPr>
        <w:tc>
          <w:tcPr>
            <w:tcW w:w="84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第十三专业组</w:t>
            </w:r>
          </w:p>
        </w:tc>
        <w:tc>
          <w:tcPr>
            <w:tcW w:w="33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13</w:t>
            </w:r>
          </w:p>
        </w:tc>
        <w:tc>
          <w:tcPr>
            <w:tcW w:w="224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kern w:val="0"/>
                <w:sz w:val="24"/>
                <w:lang w:bidi="ar"/>
                <w14:textFill>
                  <w14:solidFill>
                    <w14:schemeClr w14:val="tx1"/>
                  </w14:solidFill>
                </w14:textFill>
              </w:rPr>
              <w:t>戏曲表演（石门荆河戏方向）</w:t>
            </w:r>
          </w:p>
        </w:tc>
        <w:tc>
          <w:tcPr>
            <w:tcW w:w="7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18</w:t>
            </w:r>
          </w:p>
        </w:tc>
        <w:tc>
          <w:tcPr>
            <w:tcW w:w="815" w:type="pct"/>
            <w:tcBorders>
              <w:top w:val="nil"/>
              <w:left w:val="nil"/>
              <w:bottom w:val="single" w:color="auto" w:sz="4" w:space="0"/>
              <w:right w:val="single" w:color="auto" w:sz="4" w:space="0"/>
            </w:tcBorders>
          </w:tcPr>
          <w:p>
            <w:pPr>
              <w:widowControl/>
              <w:jc w:val="center"/>
              <w:rPr>
                <w:rFonts w:ascii="宋体" w:hAnsi="宋体" w:cs="宋体"/>
                <w:b/>
                <w:bCs/>
                <w:kern w:val="0"/>
                <w:sz w:val="24"/>
              </w:rPr>
            </w:pPr>
            <w:r>
              <w:rPr>
                <w:rFonts w:hint="eastAsia" w:ascii="宋体" w:hAnsi="宋体" w:cs="宋体"/>
                <w:b/>
                <w:bCs/>
                <w:kern w:val="0"/>
                <w:sz w:val="24"/>
              </w:rPr>
              <w:t>7500</w:t>
            </w:r>
          </w:p>
        </w:tc>
      </w:tr>
      <w:tr>
        <w:tblPrEx>
          <w:tblCellMar>
            <w:top w:w="0" w:type="dxa"/>
            <w:left w:w="108" w:type="dxa"/>
            <w:bottom w:w="0" w:type="dxa"/>
            <w:right w:w="108" w:type="dxa"/>
          </w:tblCellMar>
        </w:tblPrEx>
        <w:trPr>
          <w:trHeight w:val="375" w:hRule="atLeast"/>
        </w:trPr>
        <w:tc>
          <w:tcPr>
            <w:tcW w:w="849" w:type="pct"/>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第十四专业组</w:t>
            </w:r>
          </w:p>
        </w:tc>
        <w:tc>
          <w:tcPr>
            <w:tcW w:w="33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14</w:t>
            </w:r>
          </w:p>
        </w:tc>
        <w:tc>
          <w:tcPr>
            <w:tcW w:w="22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环境艺术设计（景观方向）</w:t>
            </w:r>
          </w:p>
        </w:tc>
        <w:tc>
          <w:tcPr>
            <w:tcW w:w="7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8</w:t>
            </w:r>
          </w:p>
        </w:tc>
        <w:tc>
          <w:tcPr>
            <w:tcW w:w="815" w:type="pct"/>
            <w:tcBorders>
              <w:top w:val="nil"/>
              <w:left w:val="nil"/>
              <w:bottom w:val="single" w:color="auto" w:sz="4" w:space="0"/>
              <w:right w:val="single" w:color="auto" w:sz="4" w:space="0"/>
            </w:tcBorders>
          </w:tcPr>
          <w:p>
            <w:pPr>
              <w:widowControl/>
              <w:jc w:val="center"/>
              <w:rPr>
                <w:rFonts w:ascii="宋体" w:hAnsi="宋体" w:cs="宋体"/>
                <w:b/>
                <w:bCs/>
                <w:kern w:val="0"/>
                <w:sz w:val="24"/>
              </w:rPr>
            </w:pPr>
            <w:r>
              <w:rPr>
                <w:rFonts w:hint="eastAsia" w:ascii="宋体" w:hAnsi="宋体" w:cs="宋体"/>
                <w:b/>
                <w:bCs/>
                <w:kern w:val="0"/>
                <w:sz w:val="24"/>
              </w:rPr>
              <w:t>7500</w:t>
            </w:r>
          </w:p>
        </w:tc>
      </w:tr>
      <w:tr>
        <w:tblPrEx>
          <w:tblCellMar>
            <w:top w:w="0" w:type="dxa"/>
            <w:left w:w="108" w:type="dxa"/>
            <w:bottom w:w="0" w:type="dxa"/>
            <w:right w:w="108" w:type="dxa"/>
          </w:tblCellMar>
        </w:tblPrEx>
        <w:trPr>
          <w:trHeight w:val="375" w:hRule="atLeast"/>
        </w:trPr>
        <w:tc>
          <w:tcPr>
            <w:tcW w:w="849" w:type="pct"/>
            <w:vMerge w:val="continue"/>
            <w:tcBorders>
              <w:left w:val="single" w:color="auto" w:sz="4" w:space="0"/>
              <w:right w:val="single" w:color="auto" w:sz="4" w:space="0"/>
            </w:tcBorders>
            <w:vAlign w:val="center"/>
          </w:tcPr>
          <w:p>
            <w:pPr>
              <w:widowControl/>
              <w:jc w:val="center"/>
              <w:rPr>
                <w:rFonts w:ascii="宋体" w:hAnsi="宋体" w:cs="宋体"/>
                <w:b/>
                <w:bCs/>
                <w:kern w:val="0"/>
                <w:sz w:val="24"/>
              </w:rPr>
            </w:pPr>
          </w:p>
        </w:tc>
        <w:tc>
          <w:tcPr>
            <w:tcW w:w="33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15</w:t>
            </w:r>
          </w:p>
        </w:tc>
        <w:tc>
          <w:tcPr>
            <w:tcW w:w="22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环境艺术设计（室内方向）</w:t>
            </w:r>
          </w:p>
        </w:tc>
        <w:tc>
          <w:tcPr>
            <w:tcW w:w="7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5</w:t>
            </w:r>
          </w:p>
        </w:tc>
        <w:tc>
          <w:tcPr>
            <w:tcW w:w="815" w:type="pct"/>
            <w:tcBorders>
              <w:top w:val="nil"/>
              <w:left w:val="nil"/>
              <w:bottom w:val="single" w:color="auto" w:sz="4" w:space="0"/>
              <w:right w:val="single" w:color="auto" w:sz="4" w:space="0"/>
            </w:tcBorders>
          </w:tcPr>
          <w:p>
            <w:pPr>
              <w:widowControl/>
              <w:jc w:val="center"/>
              <w:rPr>
                <w:rFonts w:ascii="宋体" w:hAnsi="宋体" w:cs="宋体"/>
                <w:b/>
                <w:bCs/>
                <w:kern w:val="0"/>
                <w:sz w:val="24"/>
              </w:rPr>
            </w:pPr>
            <w:r>
              <w:rPr>
                <w:rFonts w:hint="eastAsia" w:ascii="宋体" w:hAnsi="宋体" w:cs="宋体"/>
                <w:b/>
                <w:bCs/>
                <w:kern w:val="0"/>
                <w:sz w:val="24"/>
              </w:rPr>
              <w:t>7500</w:t>
            </w:r>
          </w:p>
        </w:tc>
      </w:tr>
      <w:tr>
        <w:tblPrEx>
          <w:tblCellMar>
            <w:top w:w="0" w:type="dxa"/>
            <w:left w:w="108" w:type="dxa"/>
            <w:bottom w:w="0" w:type="dxa"/>
            <w:right w:w="108" w:type="dxa"/>
          </w:tblCellMar>
        </w:tblPrEx>
        <w:trPr>
          <w:trHeight w:val="375" w:hRule="atLeast"/>
        </w:trPr>
        <w:tc>
          <w:tcPr>
            <w:tcW w:w="849" w:type="pct"/>
            <w:vMerge w:val="continue"/>
            <w:tcBorders>
              <w:left w:val="single" w:color="auto" w:sz="4" w:space="0"/>
              <w:right w:val="single" w:color="auto" w:sz="4" w:space="0"/>
            </w:tcBorders>
            <w:vAlign w:val="center"/>
          </w:tcPr>
          <w:p>
            <w:pPr>
              <w:widowControl/>
              <w:jc w:val="center"/>
              <w:rPr>
                <w:rFonts w:ascii="宋体" w:hAnsi="宋体" w:cs="宋体"/>
                <w:b/>
                <w:bCs/>
                <w:kern w:val="0"/>
                <w:sz w:val="24"/>
              </w:rPr>
            </w:pPr>
          </w:p>
        </w:tc>
        <w:tc>
          <w:tcPr>
            <w:tcW w:w="33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16</w:t>
            </w:r>
          </w:p>
        </w:tc>
        <w:tc>
          <w:tcPr>
            <w:tcW w:w="22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广告艺术设计</w:t>
            </w:r>
          </w:p>
        </w:tc>
        <w:tc>
          <w:tcPr>
            <w:tcW w:w="7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20</w:t>
            </w:r>
          </w:p>
        </w:tc>
        <w:tc>
          <w:tcPr>
            <w:tcW w:w="815" w:type="pct"/>
            <w:tcBorders>
              <w:top w:val="nil"/>
              <w:left w:val="nil"/>
              <w:bottom w:val="single" w:color="auto" w:sz="4" w:space="0"/>
              <w:right w:val="single" w:color="auto" w:sz="4" w:space="0"/>
            </w:tcBorders>
          </w:tcPr>
          <w:p>
            <w:pPr>
              <w:widowControl/>
              <w:jc w:val="center"/>
              <w:rPr>
                <w:rFonts w:ascii="宋体" w:hAnsi="宋体" w:cs="宋体"/>
                <w:b/>
                <w:bCs/>
                <w:kern w:val="0"/>
                <w:sz w:val="24"/>
              </w:rPr>
            </w:pPr>
            <w:r>
              <w:rPr>
                <w:rFonts w:hint="eastAsia" w:ascii="宋体" w:hAnsi="宋体" w:cs="宋体"/>
                <w:b/>
                <w:bCs/>
                <w:kern w:val="0"/>
                <w:sz w:val="24"/>
              </w:rPr>
              <w:t>7500</w:t>
            </w:r>
          </w:p>
        </w:tc>
      </w:tr>
      <w:tr>
        <w:tblPrEx>
          <w:tblCellMar>
            <w:top w:w="0" w:type="dxa"/>
            <w:left w:w="108" w:type="dxa"/>
            <w:bottom w:w="0" w:type="dxa"/>
            <w:right w:w="108" w:type="dxa"/>
          </w:tblCellMar>
        </w:tblPrEx>
        <w:trPr>
          <w:trHeight w:val="375" w:hRule="atLeast"/>
        </w:trPr>
        <w:tc>
          <w:tcPr>
            <w:tcW w:w="849" w:type="pct"/>
            <w:vMerge w:val="continue"/>
            <w:tcBorders>
              <w:left w:val="single" w:color="auto" w:sz="4" w:space="0"/>
              <w:right w:val="single" w:color="auto" w:sz="4" w:space="0"/>
            </w:tcBorders>
            <w:vAlign w:val="center"/>
          </w:tcPr>
          <w:p>
            <w:pPr>
              <w:widowControl/>
              <w:jc w:val="center"/>
              <w:rPr>
                <w:rFonts w:ascii="宋体" w:hAnsi="宋体" w:cs="宋体"/>
                <w:b/>
                <w:bCs/>
                <w:kern w:val="0"/>
                <w:sz w:val="24"/>
              </w:rPr>
            </w:pPr>
          </w:p>
        </w:tc>
        <w:tc>
          <w:tcPr>
            <w:tcW w:w="33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17</w:t>
            </w:r>
          </w:p>
        </w:tc>
        <w:tc>
          <w:tcPr>
            <w:tcW w:w="22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影视照明技术与艺术</w:t>
            </w:r>
          </w:p>
        </w:tc>
        <w:tc>
          <w:tcPr>
            <w:tcW w:w="7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5</w:t>
            </w:r>
          </w:p>
        </w:tc>
        <w:tc>
          <w:tcPr>
            <w:tcW w:w="815" w:type="pct"/>
            <w:tcBorders>
              <w:top w:val="nil"/>
              <w:left w:val="nil"/>
              <w:bottom w:val="single" w:color="auto" w:sz="4" w:space="0"/>
              <w:right w:val="single" w:color="auto" w:sz="4" w:space="0"/>
            </w:tcBorders>
          </w:tcPr>
          <w:p>
            <w:pPr>
              <w:widowControl/>
              <w:jc w:val="center"/>
              <w:rPr>
                <w:rFonts w:ascii="宋体" w:hAnsi="宋体" w:cs="宋体"/>
                <w:b/>
                <w:bCs/>
                <w:kern w:val="0"/>
                <w:sz w:val="24"/>
              </w:rPr>
            </w:pPr>
            <w:r>
              <w:rPr>
                <w:rFonts w:hint="eastAsia" w:ascii="宋体" w:hAnsi="宋体" w:cs="宋体"/>
                <w:b/>
                <w:bCs/>
                <w:kern w:val="0"/>
                <w:sz w:val="24"/>
              </w:rPr>
              <w:t>5500</w:t>
            </w:r>
          </w:p>
        </w:tc>
      </w:tr>
      <w:tr>
        <w:tblPrEx>
          <w:tblCellMar>
            <w:top w:w="0" w:type="dxa"/>
            <w:left w:w="108" w:type="dxa"/>
            <w:bottom w:w="0" w:type="dxa"/>
            <w:right w:w="108" w:type="dxa"/>
          </w:tblCellMar>
        </w:tblPrEx>
        <w:trPr>
          <w:trHeight w:val="375" w:hRule="atLeast"/>
        </w:trPr>
        <w:tc>
          <w:tcPr>
            <w:tcW w:w="849" w:type="pct"/>
            <w:vMerge w:val="continue"/>
            <w:tcBorders>
              <w:left w:val="single" w:color="auto" w:sz="4" w:space="0"/>
              <w:right w:val="single" w:color="auto" w:sz="4" w:space="0"/>
            </w:tcBorders>
            <w:vAlign w:val="center"/>
          </w:tcPr>
          <w:p>
            <w:pPr>
              <w:widowControl/>
              <w:jc w:val="center"/>
              <w:rPr>
                <w:rFonts w:ascii="宋体" w:hAnsi="宋体" w:cs="宋体"/>
                <w:b/>
                <w:bCs/>
                <w:kern w:val="0"/>
                <w:sz w:val="24"/>
              </w:rPr>
            </w:pPr>
          </w:p>
        </w:tc>
        <w:tc>
          <w:tcPr>
            <w:tcW w:w="33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18</w:t>
            </w:r>
          </w:p>
        </w:tc>
        <w:tc>
          <w:tcPr>
            <w:tcW w:w="22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人物形象设计</w:t>
            </w:r>
          </w:p>
        </w:tc>
        <w:tc>
          <w:tcPr>
            <w:tcW w:w="7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8</w:t>
            </w:r>
          </w:p>
        </w:tc>
        <w:tc>
          <w:tcPr>
            <w:tcW w:w="815" w:type="pct"/>
            <w:tcBorders>
              <w:top w:val="nil"/>
              <w:left w:val="nil"/>
              <w:bottom w:val="single" w:color="auto" w:sz="4" w:space="0"/>
              <w:right w:val="single" w:color="auto" w:sz="4" w:space="0"/>
            </w:tcBorders>
          </w:tcPr>
          <w:p>
            <w:pPr>
              <w:widowControl/>
              <w:jc w:val="center"/>
              <w:rPr>
                <w:rFonts w:ascii="宋体" w:hAnsi="宋体" w:cs="宋体"/>
                <w:b/>
                <w:bCs/>
                <w:kern w:val="0"/>
                <w:sz w:val="24"/>
              </w:rPr>
            </w:pPr>
            <w:r>
              <w:rPr>
                <w:rFonts w:hint="eastAsia" w:ascii="宋体" w:hAnsi="宋体" w:cs="宋体"/>
                <w:b/>
                <w:bCs/>
                <w:kern w:val="0"/>
                <w:sz w:val="24"/>
              </w:rPr>
              <w:t>7500</w:t>
            </w:r>
          </w:p>
        </w:tc>
      </w:tr>
      <w:tr>
        <w:tblPrEx>
          <w:tblCellMar>
            <w:top w:w="0" w:type="dxa"/>
            <w:left w:w="108" w:type="dxa"/>
            <w:bottom w:w="0" w:type="dxa"/>
            <w:right w:w="108" w:type="dxa"/>
          </w:tblCellMar>
        </w:tblPrEx>
        <w:trPr>
          <w:trHeight w:val="375" w:hRule="atLeast"/>
        </w:trPr>
        <w:tc>
          <w:tcPr>
            <w:tcW w:w="849" w:type="pct"/>
            <w:vMerge w:val="continue"/>
            <w:tcBorders>
              <w:left w:val="single" w:color="auto" w:sz="4" w:space="0"/>
              <w:right w:val="single" w:color="auto" w:sz="4" w:space="0"/>
            </w:tcBorders>
            <w:vAlign w:val="center"/>
          </w:tcPr>
          <w:p>
            <w:pPr>
              <w:widowControl/>
              <w:jc w:val="center"/>
              <w:rPr>
                <w:rFonts w:ascii="宋体" w:hAnsi="宋体" w:cs="宋体"/>
                <w:b/>
                <w:bCs/>
                <w:kern w:val="0"/>
                <w:sz w:val="24"/>
              </w:rPr>
            </w:pPr>
          </w:p>
        </w:tc>
        <w:tc>
          <w:tcPr>
            <w:tcW w:w="33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19</w:t>
            </w:r>
          </w:p>
        </w:tc>
        <w:tc>
          <w:tcPr>
            <w:tcW w:w="22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舞台艺术设计与制作</w:t>
            </w:r>
          </w:p>
        </w:tc>
        <w:tc>
          <w:tcPr>
            <w:tcW w:w="7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7</w:t>
            </w:r>
          </w:p>
        </w:tc>
        <w:tc>
          <w:tcPr>
            <w:tcW w:w="815" w:type="pct"/>
            <w:tcBorders>
              <w:top w:val="nil"/>
              <w:left w:val="nil"/>
              <w:bottom w:val="single" w:color="auto" w:sz="4" w:space="0"/>
              <w:right w:val="single" w:color="auto" w:sz="4" w:space="0"/>
            </w:tcBorders>
          </w:tcPr>
          <w:p>
            <w:pPr>
              <w:widowControl/>
              <w:jc w:val="center"/>
              <w:rPr>
                <w:rFonts w:ascii="宋体" w:hAnsi="宋体" w:cs="宋体"/>
                <w:b/>
                <w:bCs/>
                <w:kern w:val="0"/>
                <w:sz w:val="24"/>
              </w:rPr>
            </w:pPr>
            <w:r>
              <w:rPr>
                <w:rFonts w:hint="eastAsia" w:ascii="宋体" w:hAnsi="宋体" w:cs="宋体"/>
                <w:b/>
                <w:bCs/>
                <w:kern w:val="0"/>
                <w:sz w:val="24"/>
              </w:rPr>
              <w:t>7500</w:t>
            </w:r>
          </w:p>
        </w:tc>
      </w:tr>
      <w:tr>
        <w:tblPrEx>
          <w:tblCellMar>
            <w:top w:w="0" w:type="dxa"/>
            <w:left w:w="108" w:type="dxa"/>
            <w:bottom w:w="0" w:type="dxa"/>
            <w:right w:w="108" w:type="dxa"/>
          </w:tblCellMar>
        </w:tblPrEx>
        <w:trPr>
          <w:trHeight w:val="90" w:hRule="atLeast"/>
        </w:trPr>
        <w:tc>
          <w:tcPr>
            <w:tcW w:w="849" w:type="pct"/>
            <w:vMerge w:val="continue"/>
            <w:tcBorders>
              <w:left w:val="single" w:color="auto" w:sz="4" w:space="0"/>
              <w:right w:val="single" w:color="auto" w:sz="4" w:space="0"/>
            </w:tcBorders>
            <w:vAlign w:val="center"/>
          </w:tcPr>
          <w:p>
            <w:pPr>
              <w:widowControl/>
              <w:jc w:val="center"/>
              <w:rPr>
                <w:rFonts w:ascii="宋体" w:hAnsi="宋体" w:cs="宋体"/>
                <w:b/>
                <w:bCs/>
                <w:kern w:val="0"/>
                <w:sz w:val="24"/>
              </w:rPr>
            </w:pPr>
          </w:p>
        </w:tc>
        <w:tc>
          <w:tcPr>
            <w:tcW w:w="33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20</w:t>
            </w:r>
          </w:p>
        </w:tc>
        <w:tc>
          <w:tcPr>
            <w:tcW w:w="22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影视动画</w:t>
            </w:r>
          </w:p>
        </w:tc>
        <w:tc>
          <w:tcPr>
            <w:tcW w:w="7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12</w:t>
            </w:r>
          </w:p>
        </w:tc>
        <w:tc>
          <w:tcPr>
            <w:tcW w:w="815" w:type="pct"/>
            <w:tcBorders>
              <w:top w:val="nil"/>
              <w:left w:val="nil"/>
              <w:bottom w:val="single" w:color="auto" w:sz="4" w:space="0"/>
              <w:right w:val="single" w:color="auto" w:sz="4" w:space="0"/>
            </w:tcBorders>
          </w:tcPr>
          <w:p>
            <w:pPr>
              <w:widowControl/>
              <w:jc w:val="center"/>
              <w:rPr>
                <w:rFonts w:ascii="宋体" w:hAnsi="宋体" w:cs="宋体"/>
                <w:b/>
                <w:bCs/>
                <w:kern w:val="0"/>
                <w:sz w:val="24"/>
              </w:rPr>
            </w:pPr>
            <w:r>
              <w:rPr>
                <w:rFonts w:hint="eastAsia" w:ascii="宋体" w:hAnsi="宋体" w:cs="宋体"/>
                <w:b/>
                <w:bCs/>
                <w:kern w:val="0"/>
                <w:sz w:val="24"/>
              </w:rPr>
              <w:t>9000</w:t>
            </w:r>
          </w:p>
        </w:tc>
      </w:tr>
      <w:tr>
        <w:tblPrEx>
          <w:tblCellMar>
            <w:top w:w="0" w:type="dxa"/>
            <w:left w:w="108" w:type="dxa"/>
            <w:bottom w:w="0" w:type="dxa"/>
            <w:right w:w="108" w:type="dxa"/>
          </w:tblCellMar>
        </w:tblPrEx>
        <w:trPr>
          <w:trHeight w:val="90" w:hRule="atLeast"/>
        </w:trPr>
        <w:tc>
          <w:tcPr>
            <w:tcW w:w="8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第十五专业组</w:t>
            </w:r>
          </w:p>
        </w:tc>
        <w:tc>
          <w:tcPr>
            <w:tcW w:w="33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21</w:t>
            </w:r>
          </w:p>
        </w:tc>
        <w:tc>
          <w:tcPr>
            <w:tcW w:w="22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舞蹈表演</w:t>
            </w:r>
          </w:p>
        </w:tc>
        <w:tc>
          <w:tcPr>
            <w:tcW w:w="7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35</w:t>
            </w:r>
          </w:p>
        </w:tc>
        <w:tc>
          <w:tcPr>
            <w:tcW w:w="815" w:type="pct"/>
            <w:tcBorders>
              <w:top w:val="nil"/>
              <w:left w:val="nil"/>
              <w:bottom w:val="single" w:color="auto" w:sz="4" w:space="0"/>
              <w:right w:val="single" w:color="auto" w:sz="4" w:space="0"/>
            </w:tcBorders>
          </w:tcPr>
          <w:p>
            <w:pPr>
              <w:widowControl/>
              <w:jc w:val="center"/>
              <w:rPr>
                <w:rFonts w:ascii="宋体" w:hAnsi="宋体" w:cs="宋体"/>
                <w:b/>
                <w:bCs/>
                <w:kern w:val="0"/>
                <w:sz w:val="24"/>
              </w:rPr>
            </w:pPr>
            <w:r>
              <w:rPr>
                <w:rFonts w:hint="eastAsia" w:ascii="宋体" w:hAnsi="宋体" w:cs="宋体"/>
                <w:b/>
                <w:bCs/>
                <w:kern w:val="0"/>
                <w:sz w:val="24"/>
              </w:rPr>
              <w:t>7500</w:t>
            </w:r>
          </w:p>
        </w:tc>
      </w:tr>
      <w:tr>
        <w:tblPrEx>
          <w:tblCellMar>
            <w:top w:w="0" w:type="dxa"/>
            <w:left w:w="108" w:type="dxa"/>
            <w:bottom w:w="0" w:type="dxa"/>
            <w:right w:w="108" w:type="dxa"/>
          </w:tblCellMar>
        </w:tblPrEx>
        <w:trPr>
          <w:trHeight w:val="375" w:hRule="atLeast"/>
        </w:trPr>
        <w:tc>
          <w:tcPr>
            <w:tcW w:w="849" w:type="pc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第十六专业组</w:t>
            </w:r>
          </w:p>
        </w:tc>
        <w:tc>
          <w:tcPr>
            <w:tcW w:w="33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22</w:t>
            </w:r>
          </w:p>
        </w:tc>
        <w:tc>
          <w:tcPr>
            <w:tcW w:w="22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国际标准舞</w:t>
            </w:r>
          </w:p>
        </w:tc>
        <w:tc>
          <w:tcPr>
            <w:tcW w:w="7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15</w:t>
            </w:r>
          </w:p>
        </w:tc>
        <w:tc>
          <w:tcPr>
            <w:tcW w:w="815" w:type="pct"/>
            <w:tcBorders>
              <w:top w:val="nil"/>
              <w:left w:val="nil"/>
              <w:bottom w:val="single" w:color="auto" w:sz="4" w:space="0"/>
              <w:right w:val="single" w:color="auto" w:sz="4" w:space="0"/>
            </w:tcBorders>
          </w:tcPr>
          <w:p>
            <w:pPr>
              <w:widowControl/>
              <w:jc w:val="center"/>
              <w:rPr>
                <w:rFonts w:ascii="宋体" w:hAnsi="宋体" w:cs="宋体"/>
                <w:b/>
                <w:bCs/>
                <w:kern w:val="0"/>
                <w:sz w:val="24"/>
              </w:rPr>
            </w:pPr>
            <w:r>
              <w:rPr>
                <w:rFonts w:hint="eastAsia" w:ascii="宋体" w:hAnsi="宋体" w:cs="宋体"/>
                <w:b/>
                <w:bCs/>
                <w:kern w:val="0"/>
                <w:sz w:val="24"/>
              </w:rPr>
              <w:t>7500</w:t>
            </w:r>
          </w:p>
        </w:tc>
      </w:tr>
      <w:tr>
        <w:tblPrEx>
          <w:tblCellMar>
            <w:top w:w="0" w:type="dxa"/>
            <w:left w:w="108" w:type="dxa"/>
            <w:bottom w:w="0" w:type="dxa"/>
            <w:right w:w="108" w:type="dxa"/>
          </w:tblCellMar>
        </w:tblPrEx>
        <w:trPr>
          <w:trHeight w:val="375" w:hRule="atLeast"/>
        </w:trPr>
        <w:tc>
          <w:tcPr>
            <w:tcW w:w="84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第十七专业组</w:t>
            </w:r>
          </w:p>
        </w:tc>
        <w:tc>
          <w:tcPr>
            <w:tcW w:w="33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23</w:t>
            </w:r>
          </w:p>
        </w:tc>
        <w:tc>
          <w:tcPr>
            <w:tcW w:w="22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酒店管理与数字化运营</w:t>
            </w:r>
          </w:p>
        </w:tc>
        <w:tc>
          <w:tcPr>
            <w:tcW w:w="7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55</w:t>
            </w:r>
          </w:p>
        </w:tc>
        <w:tc>
          <w:tcPr>
            <w:tcW w:w="815" w:type="pct"/>
            <w:tcBorders>
              <w:top w:val="nil"/>
              <w:left w:val="nil"/>
              <w:bottom w:val="single" w:color="auto" w:sz="4" w:space="0"/>
              <w:right w:val="single" w:color="auto" w:sz="4" w:space="0"/>
            </w:tcBorders>
          </w:tcPr>
          <w:p>
            <w:pPr>
              <w:widowControl/>
              <w:jc w:val="center"/>
              <w:rPr>
                <w:rFonts w:ascii="宋体" w:hAnsi="宋体" w:cs="宋体"/>
                <w:b/>
                <w:bCs/>
                <w:kern w:val="0"/>
                <w:sz w:val="24"/>
              </w:rPr>
            </w:pPr>
            <w:r>
              <w:rPr>
                <w:rFonts w:hint="eastAsia" w:ascii="宋体" w:hAnsi="宋体" w:cs="宋体"/>
                <w:b/>
                <w:bCs/>
                <w:kern w:val="0"/>
                <w:sz w:val="24"/>
              </w:rPr>
              <w:t>4600</w:t>
            </w:r>
          </w:p>
        </w:tc>
      </w:tr>
      <w:tr>
        <w:tblPrEx>
          <w:tblCellMar>
            <w:top w:w="0" w:type="dxa"/>
            <w:left w:w="108" w:type="dxa"/>
            <w:bottom w:w="0" w:type="dxa"/>
            <w:right w:w="108" w:type="dxa"/>
          </w:tblCellMar>
        </w:tblPrEx>
        <w:trPr>
          <w:trHeight w:val="375" w:hRule="atLeast"/>
        </w:trPr>
        <w:tc>
          <w:tcPr>
            <w:tcW w:w="84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第十八专业组</w:t>
            </w:r>
          </w:p>
        </w:tc>
        <w:tc>
          <w:tcPr>
            <w:tcW w:w="33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24</w:t>
            </w:r>
          </w:p>
        </w:tc>
        <w:tc>
          <w:tcPr>
            <w:tcW w:w="22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空中乘务</w:t>
            </w:r>
          </w:p>
        </w:tc>
        <w:tc>
          <w:tcPr>
            <w:tcW w:w="7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30</w:t>
            </w:r>
          </w:p>
        </w:tc>
        <w:tc>
          <w:tcPr>
            <w:tcW w:w="815" w:type="pct"/>
            <w:tcBorders>
              <w:top w:val="nil"/>
              <w:left w:val="nil"/>
              <w:bottom w:val="single" w:color="auto" w:sz="4" w:space="0"/>
              <w:right w:val="single" w:color="auto" w:sz="4" w:space="0"/>
            </w:tcBorders>
          </w:tcPr>
          <w:p>
            <w:pPr>
              <w:widowControl/>
              <w:jc w:val="center"/>
              <w:rPr>
                <w:rFonts w:ascii="宋体" w:hAnsi="宋体" w:cs="宋体"/>
                <w:b/>
                <w:bCs/>
                <w:kern w:val="0"/>
                <w:sz w:val="24"/>
              </w:rPr>
            </w:pPr>
            <w:r>
              <w:rPr>
                <w:rFonts w:hint="eastAsia" w:ascii="宋体" w:hAnsi="宋体" w:cs="宋体"/>
                <w:b/>
                <w:bCs/>
                <w:kern w:val="0"/>
                <w:sz w:val="24"/>
              </w:rPr>
              <w:t>8000</w:t>
            </w:r>
          </w:p>
        </w:tc>
      </w:tr>
      <w:tr>
        <w:tblPrEx>
          <w:tblCellMar>
            <w:top w:w="0" w:type="dxa"/>
            <w:left w:w="108" w:type="dxa"/>
            <w:bottom w:w="0" w:type="dxa"/>
            <w:right w:w="108" w:type="dxa"/>
          </w:tblCellMar>
        </w:tblPrEx>
        <w:trPr>
          <w:trHeight w:val="375" w:hRule="atLeast"/>
        </w:trPr>
        <w:tc>
          <w:tcPr>
            <w:tcW w:w="849"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4"/>
              </w:rPr>
            </w:pPr>
            <w:r>
              <w:rPr>
                <w:rFonts w:hint="eastAsia" w:ascii="宋体" w:hAnsi="宋体" w:cs="宋体"/>
                <w:b/>
                <w:bCs/>
                <w:kern w:val="0"/>
                <w:sz w:val="24"/>
              </w:rPr>
              <w:t>第十九专业组</w:t>
            </w:r>
          </w:p>
        </w:tc>
        <w:tc>
          <w:tcPr>
            <w:tcW w:w="33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25</w:t>
            </w:r>
          </w:p>
        </w:tc>
        <w:tc>
          <w:tcPr>
            <w:tcW w:w="224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文化产业经营与管理（演艺策划与管理方向）</w:t>
            </w:r>
          </w:p>
        </w:tc>
        <w:tc>
          <w:tcPr>
            <w:tcW w:w="7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15</w:t>
            </w:r>
          </w:p>
        </w:tc>
        <w:tc>
          <w:tcPr>
            <w:tcW w:w="815" w:type="pct"/>
            <w:tcBorders>
              <w:top w:val="nil"/>
              <w:left w:val="nil"/>
              <w:bottom w:val="single" w:color="auto" w:sz="4" w:space="0"/>
              <w:right w:val="single" w:color="auto" w:sz="4" w:space="0"/>
            </w:tcBorders>
          </w:tcPr>
          <w:p>
            <w:pPr>
              <w:widowControl/>
              <w:jc w:val="center"/>
              <w:rPr>
                <w:rFonts w:ascii="宋体" w:hAnsi="宋体" w:cs="宋体"/>
                <w:b/>
                <w:bCs/>
                <w:kern w:val="0"/>
                <w:sz w:val="24"/>
              </w:rPr>
            </w:pPr>
            <w:r>
              <w:rPr>
                <w:rFonts w:hint="eastAsia" w:ascii="宋体" w:hAnsi="宋体" w:cs="宋体"/>
                <w:b/>
                <w:bCs/>
                <w:kern w:val="0"/>
                <w:sz w:val="24"/>
              </w:rPr>
              <w:t>3500</w:t>
            </w:r>
          </w:p>
        </w:tc>
      </w:tr>
      <w:tr>
        <w:tblPrEx>
          <w:tblCellMar>
            <w:top w:w="0" w:type="dxa"/>
            <w:left w:w="108" w:type="dxa"/>
            <w:bottom w:w="0" w:type="dxa"/>
            <w:right w:w="108" w:type="dxa"/>
          </w:tblCellMar>
        </w:tblPrEx>
        <w:trPr>
          <w:trHeight w:val="375" w:hRule="atLeast"/>
        </w:trPr>
        <w:tc>
          <w:tcPr>
            <w:tcW w:w="849"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p>
        </w:tc>
        <w:tc>
          <w:tcPr>
            <w:tcW w:w="33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26</w:t>
            </w:r>
          </w:p>
        </w:tc>
        <w:tc>
          <w:tcPr>
            <w:tcW w:w="2246" w:type="pct"/>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文物修复与保护</w:t>
            </w:r>
          </w:p>
        </w:tc>
        <w:tc>
          <w:tcPr>
            <w:tcW w:w="7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15</w:t>
            </w:r>
          </w:p>
        </w:tc>
        <w:tc>
          <w:tcPr>
            <w:tcW w:w="815" w:type="pct"/>
            <w:tcBorders>
              <w:top w:val="nil"/>
              <w:left w:val="nil"/>
              <w:bottom w:val="single" w:color="auto" w:sz="4" w:space="0"/>
              <w:right w:val="single" w:color="auto" w:sz="4" w:space="0"/>
            </w:tcBorders>
          </w:tcPr>
          <w:p>
            <w:pPr>
              <w:widowControl/>
              <w:jc w:val="center"/>
              <w:rPr>
                <w:rFonts w:ascii="宋体" w:hAnsi="宋体" w:cs="宋体"/>
                <w:b/>
                <w:bCs/>
                <w:kern w:val="0"/>
                <w:sz w:val="24"/>
              </w:rPr>
            </w:pPr>
            <w:r>
              <w:rPr>
                <w:rFonts w:hint="eastAsia" w:ascii="宋体" w:hAnsi="宋体" w:cs="宋体"/>
                <w:b/>
                <w:bCs/>
                <w:kern w:val="0"/>
                <w:sz w:val="24"/>
              </w:rPr>
              <w:t>5500</w:t>
            </w:r>
          </w:p>
        </w:tc>
      </w:tr>
      <w:tr>
        <w:tblPrEx>
          <w:tblCellMar>
            <w:top w:w="0" w:type="dxa"/>
            <w:left w:w="108" w:type="dxa"/>
            <w:bottom w:w="0" w:type="dxa"/>
            <w:right w:w="108" w:type="dxa"/>
          </w:tblCellMar>
        </w:tblPrEx>
        <w:trPr>
          <w:trHeight w:val="375" w:hRule="atLeast"/>
        </w:trPr>
        <w:tc>
          <w:tcPr>
            <w:tcW w:w="849"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第二十专业组</w:t>
            </w:r>
          </w:p>
        </w:tc>
        <w:tc>
          <w:tcPr>
            <w:tcW w:w="33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27</w:t>
            </w:r>
          </w:p>
        </w:tc>
        <w:tc>
          <w:tcPr>
            <w:tcW w:w="2246" w:type="pct"/>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艺术教育</w:t>
            </w:r>
          </w:p>
        </w:tc>
        <w:tc>
          <w:tcPr>
            <w:tcW w:w="7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45</w:t>
            </w:r>
          </w:p>
        </w:tc>
        <w:tc>
          <w:tcPr>
            <w:tcW w:w="815" w:type="pct"/>
            <w:tcBorders>
              <w:top w:val="nil"/>
              <w:left w:val="nil"/>
              <w:bottom w:val="single" w:color="auto" w:sz="4" w:space="0"/>
              <w:right w:val="single" w:color="auto" w:sz="4" w:space="0"/>
            </w:tcBorders>
          </w:tcPr>
          <w:p>
            <w:pPr>
              <w:widowControl/>
              <w:jc w:val="center"/>
              <w:rPr>
                <w:rFonts w:ascii="宋体" w:hAnsi="宋体" w:cs="宋体"/>
                <w:b/>
                <w:bCs/>
                <w:kern w:val="0"/>
                <w:sz w:val="24"/>
              </w:rPr>
            </w:pPr>
            <w:r>
              <w:rPr>
                <w:rFonts w:hint="eastAsia" w:ascii="宋体" w:hAnsi="宋体" w:cs="宋体"/>
                <w:b/>
                <w:bCs/>
                <w:kern w:val="0"/>
                <w:sz w:val="24"/>
              </w:rPr>
              <w:t>3500</w:t>
            </w:r>
          </w:p>
        </w:tc>
      </w:tr>
      <w:tr>
        <w:tblPrEx>
          <w:tblCellMar>
            <w:top w:w="0" w:type="dxa"/>
            <w:left w:w="108" w:type="dxa"/>
            <w:bottom w:w="0" w:type="dxa"/>
            <w:right w:w="108" w:type="dxa"/>
          </w:tblCellMar>
        </w:tblPrEx>
        <w:trPr>
          <w:trHeight w:val="375" w:hRule="atLeast"/>
        </w:trPr>
        <w:tc>
          <w:tcPr>
            <w:tcW w:w="84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第二十一专业组</w:t>
            </w:r>
          </w:p>
        </w:tc>
        <w:tc>
          <w:tcPr>
            <w:tcW w:w="33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28</w:t>
            </w:r>
          </w:p>
        </w:tc>
        <w:tc>
          <w:tcPr>
            <w:tcW w:w="22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摄影摄像技术</w:t>
            </w:r>
          </w:p>
        </w:tc>
        <w:tc>
          <w:tcPr>
            <w:tcW w:w="7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20</w:t>
            </w:r>
          </w:p>
        </w:tc>
        <w:tc>
          <w:tcPr>
            <w:tcW w:w="815" w:type="pct"/>
            <w:tcBorders>
              <w:top w:val="nil"/>
              <w:left w:val="nil"/>
              <w:bottom w:val="single" w:color="auto" w:sz="4" w:space="0"/>
              <w:right w:val="single" w:color="auto" w:sz="4" w:space="0"/>
            </w:tcBorders>
          </w:tcPr>
          <w:p>
            <w:pPr>
              <w:widowControl/>
              <w:jc w:val="center"/>
              <w:rPr>
                <w:rFonts w:ascii="宋体" w:hAnsi="宋体" w:cs="宋体"/>
                <w:b/>
                <w:bCs/>
                <w:kern w:val="0"/>
                <w:sz w:val="24"/>
              </w:rPr>
            </w:pPr>
            <w:r>
              <w:rPr>
                <w:rFonts w:hint="eastAsia" w:ascii="宋体" w:hAnsi="宋体" w:cs="宋体"/>
                <w:b/>
                <w:bCs/>
                <w:kern w:val="0"/>
                <w:sz w:val="24"/>
              </w:rPr>
              <w:t>7500</w:t>
            </w:r>
          </w:p>
        </w:tc>
      </w:tr>
      <w:tr>
        <w:tblPrEx>
          <w:tblCellMar>
            <w:top w:w="0" w:type="dxa"/>
            <w:left w:w="108" w:type="dxa"/>
            <w:bottom w:w="0" w:type="dxa"/>
            <w:right w:w="108" w:type="dxa"/>
          </w:tblCellMar>
        </w:tblPrEx>
        <w:trPr>
          <w:trHeight w:val="375" w:hRule="atLeast"/>
        </w:trPr>
        <w:tc>
          <w:tcPr>
            <w:tcW w:w="849"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p>
        </w:tc>
        <w:tc>
          <w:tcPr>
            <w:tcW w:w="33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29</w:t>
            </w:r>
          </w:p>
        </w:tc>
        <w:tc>
          <w:tcPr>
            <w:tcW w:w="22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影视编导</w:t>
            </w:r>
          </w:p>
        </w:tc>
        <w:tc>
          <w:tcPr>
            <w:tcW w:w="7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17</w:t>
            </w:r>
          </w:p>
        </w:tc>
        <w:tc>
          <w:tcPr>
            <w:tcW w:w="815" w:type="pct"/>
            <w:tcBorders>
              <w:top w:val="nil"/>
              <w:left w:val="nil"/>
              <w:bottom w:val="single" w:color="auto" w:sz="4" w:space="0"/>
              <w:right w:val="single" w:color="auto" w:sz="4" w:space="0"/>
            </w:tcBorders>
          </w:tcPr>
          <w:p>
            <w:pPr>
              <w:widowControl/>
              <w:jc w:val="center"/>
              <w:rPr>
                <w:rFonts w:ascii="宋体" w:hAnsi="宋体" w:cs="宋体"/>
                <w:b/>
                <w:bCs/>
                <w:kern w:val="0"/>
                <w:sz w:val="24"/>
              </w:rPr>
            </w:pPr>
            <w:r>
              <w:rPr>
                <w:rFonts w:hint="eastAsia" w:ascii="宋体" w:hAnsi="宋体" w:cs="宋体"/>
                <w:b/>
                <w:bCs/>
                <w:kern w:val="0"/>
                <w:sz w:val="24"/>
              </w:rPr>
              <w:t>7500</w:t>
            </w:r>
          </w:p>
        </w:tc>
      </w:tr>
      <w:tr>
        <w:tblPrEx>
          <w:tblCellMar>
            <w:top w:w="0" w:type="dxa"/>
            <w:left w:w="108" w:type="dxa"/>
            <w:bottom w:w="0" w:type="dxa"/>
            <w:right w:w="108" w:type="dxa"/>
          </w:tblCellMar>
        </w:tblPrEx>
        <w:trPr>
          <w:trHeight w:val="375" w:hRule="atLeast"/>
        </w:trPr>
        <w:tc>
          <w:tcPr>
            <w:tcW w:w="849"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p>
        </w:tc>
        <w:tc>
          <w:tcPr>
            <w:tcW w:w="33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30</w:t>
            </w:r>
          </w:p>
        </w:tc>
        <w:tc>
          <w:tcPr>
            <w:tcW w:w="22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广播影视节目制作</w:t>
            </w:r>
          </w:p>
        </w:tc>
        <w:tc>
          <w:tcPr>
            <w:tcW w:w="7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18</w:t>
            </w:r>
          </w:p>
        </w:tc>
        <w:tc>
          <w:tcPr>
            <w:tcW w:w="815" w:type="pct"/>
            <w:tcBorders>
              <w:top w:val="nil"/>
              <w:left w:val="nil"/>
              <w:bottom w:val="single" w:color="auto" w:sz="4" w:space="0"/>
              <w:right w:val="single" w:color="auto" w:sz="4" w:space="0"/>
            </w:tcBorders>
          </w:tcPr>
          <w:p>
            <w:pPr>
              <w:widowControl/>
              <w:jc w:val="center"/>
              <w:rPr>
                <w:rFonts w:ascii="宋体" w:hAnsi="宋体" w:cs="宋体"/>
                <w:b/>
                <w:bCs/>
                <w:kern w:val="0"/>
                <w:sz w:val="24"/>
              </w:rPr>
            </w:pPr>
            <w:r>
              <w:rPr>
                <w:rFonts w:hint="eastAsia" w:ascii="宋体" w:hAnsi="宋体" w:cs="宋体"/>
                <w:b/>
                <w:bCs/>
                <w:kern w:val="0"/>
                <w:sz w:val="24"/>
              </w:rPr>
              <w:t>7500</w:t>
            </w:r>
          </w:p>
        </w:tc>
      </w:tr>
      <w:tr>
        <w:tblPrEx>
          <w:tblCellMar>
            <w:top w:w="0" w:type="dxa"/>
            <w:left w:w="108" w:type="dxa"/>
            <w:bottom w:w="0" w:type="dxa"/>
            <w:right w:w="108" w:type="dxa"/>
          </w:tblCellMar>
        </w:tblPrEx>
        <w:trPr>
          <w:trHeight w:val="375" w:hRule="atLeast"/>
        </w:trPr>
        <w:tc>
          <w:tcPr>
            <w:tcW w:w="849"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p>
        </w:tc>
        <w:tc>
          <w:tcPr>
            <w:tcW w:w="33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31</w:t>
            </w:r>
          </w:p>
        </w:tc>
        <w:tc>
          <w:tcPr>
            <w:tcW w:w="22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新闻采编与制作</w:t>
            </w:r>
          </w:p>
        </w:tc>
        <w:tc>
          <w:tcPr>
            <w:tcW w:w="7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9</w:t>
            </w:r>
          </w:p>
        </w:tc>
        <w:tc>
          <w:tcPr>
            <w:tcW w:w="815" w:type="pct"/>
            <w:tcBorders>
              <w:top w:val="nil"/>
              <w:left w:val="nil"/>
              <w:bottom w:val="single" w:color="auto" w:sz="4" w:space="0"/>
              <w:right w:val="single" w:color="auto" w:sz="4" w:space="0"/>
            </w:tcBorders>
          </w:tcPr>
          <w:p>
            <w:pPr>
              <w:widowControl/>
              <w:jc w:val="center"/>
              <w:rPr>
                <w:rFonts w:ascii="宋体" w:hAnsi="宋体" w:cs="宋体"/>
                <w:b/>
                <w:bCs/>
                <w:kern w:val="0"/>
                <w:sz w:val="24"/>
              </w:rPr>
            </w:pPr>
            <w:r>
              <w:rPr>
                <w:rFonts w:hint="eastAsia" w:ascii="宋体" w:hAnsi="宋体" w:cs="宋体"/>
                <w:b/>
                <w:bCs/>
                <w:kern w:val="0"/>
                <w:sz w:val="24"/>
              </w:rPr>
              <w:t>5500</w:t>
            </w:r>
          </w:p>
        </w:tc>
      </w:tr>
      <w:tr>
        <w:tblPrEx>
          <w:tblCellMar>
            <w:top w:w="0" w:type="dxa"/>
            <w:left w:w="108" w:type="dxa"/>
            <w:bottom w:w="0" w:type="dxa"/>
            <w:right w:w="108" w:type="dxa"/>
          </w:tblCellMar>
        </w:tblPrEx>
        <w:trPr>
          <w:trHeight w:val="375" w:hRule="atLeast"/>
        </w:trPr>
        <w:tc>
          <w:tcPr>
            <w:tcW w:w="849"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p>
        </w:tc>
        <w:tc>
          <w:tcPr>
            <w:tcW w:w="33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32</w:t>
            </w:r>
          </w:p>
        </w:tc>
        <w:tc>
          <w:tcPr>
            <w:tcW w:w="22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影视多媒体技术</w:t>
            </w:r>
          </w:p>
        </w:tc>
        <w:tc>
          <w:tcPr>
            <w:tcW w:w="7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14</w:t>
            </w:r>
          </w:p>
        </w:tc>
        <w:tc>
          <w:tcPr>
            <w:tcW w:w="815" w:type="pct"/>
            <w:tcBorders>
              <w:top w:val="nil"/>
              <w:left w:val="nil"/>
              <w:bottom w:val="single" w:color="auto" w:sz="4" w:space="0"/>
              <w:right w:val="single" w:color="auto" w:sz="4" w:space="0"/>
            </w:tcBorders>
          </w:tcPr>
          <w:p>
            <w:pPr>
              <w:widowControl/>
              <w:jc w:val="center"/>
              <w:rPr>
                <w:rFonts w:ascii="宋体" w:hAnsi="宋体" w:cs="宋体"/>
                <w:b/>
                <w:bCs/>
                <w:kern w:val="0"/>
                <w:sz w:val="24"/>
              </w:rPr>
            </w:pPr>
            <w:r>
              <w:rPr>
                <w:rFonts w:hint="eastAsia" w:ascii="宋体" w:hAnsi="宋体" w:cs="宋体"/>
                <w:b/>
                <w:bCs/>
                <w:kern w:val="0"/>
                <w:sz w:val="24"/>
              </w:rPr>
              <w:t>5500</w:t>
            </w:r>
          </w:p>
        </w:tc>
      </w:tr>
      <w:tr>
        <w:tblPrEx>
          <w:tblCellMar>
            <w:top w:w="0" w:type="dxa"/>
            <w:left w:w="108" w:type="dxa"/>
            <w:bottom w:w="0" w:type="dxa"/>
            <w:right w:w="108" w:type="dxa"/>
          </w:tblCellMar>
        </w:tblPrEx>
        <w:trPr>
          <w:trHeight w:val="375" w:hRule="atLeast"/>
        </w:trPr>
        <w:tc>
          <w:tcPr>
            <w:tcW w:w="849"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4"/>
              </w:rPr>
            </w:pPr>
            <w:r>
              <w:rPr>
                <w:rFonts w:hint="eastAsia" w:ascii="宋体" w:hAnsi="宋体" w:cs="宋体"/>
                <w:b/>
                <w:bCs/>
                <w:kern w:val="0"/>
                <w:sz w:val="24"/>
              </w:rPr>
              <w:t>第二十二专业组</w:t>
            </w:r>
          </w:p>
        </w:tc>
        <w:tc>
          <w:tcPr>
            <w:tcW w:w="33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33</w:t>
            </w:r>
          </w:p>
        </w:tc>
        <w:tc>
          <w:tcPr>
            <w:tcW w:w="22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播音与主持</w:t>
            </w:r>
          </w:p>
        </w:tc>
        <w:tc>
          <w:tcPr>
            <w:tcW w:w="7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20</w:t>
            </w:r>
          </w:p>
        </w:tc>
        <w:tc>
          <w:tcPr>
            <w:tcW w:w="815" w:type="pct"/>
            <w:tcBorders>
              <w:top w:val="nil"/>
              <w:left w:val="nil"/>
              <w:bottom w:val="single" w:color="auto" w:sz="4" w:space="0"/>
              <w:right w:val="single" w:color="auto" w:sz="4" w:space="0"/>
            </w:tcBorders>
          </w:tcPr>
          <w:p>
            <w:pPr>
              <w:widowControl/>
              <w:jc w:val="center"/>
              <w:rPr>
                <w:rFonts w:ascii="宋体" w:hAnsi="宋体" w:cs="宋体"/>
                <w:b/>
                <w:bCs/>
                <w:kern w:val="0"/>
                <w:sz w:val="24"/>
              </w:rPr>
            </w:pPr>
            <w:r>
              <w:rPr>
                <w:rFonts w:hint="eastAsia" w:ascii="宋体" w:hAnsi="宋体" w:cs="宋体"/>
                <w:b/>
                <w:bCs/>
                <w:kern w:val="0"/>
                <w:sz w:val="24"/>
              </w:rPr>
              <w:t>7500</w:t>
            </w:r>
          </w:p>
        </w:tc>
      </w:tr>
      <w:tr>
        <w:tblPrEx>
          <w:tblCellMar>
            <w:top w:w="0" w:type="dxa"/>
            <w:left w:w="108" w:type="dxa"/>
            <w:bottom w:w="0" w:type="dxa"/>
            <w:right w:w="108" w:type="dxa"/>
          </w:tblCellMar>
        </w:tblPrEx>
        <w:trPr>
          <w:trHeight w:val="375" w:hRule="atLeast"/>
        </w:trPr>
        <w:tc>
          <w:tcPr>
            <w:tcW w:w="849"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33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34</w:t>
            </w:r>
          </w:p>
        </w:tc>
        <w:tc>
          <w:tcPr>
            <w:tcW w:w="224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网络直播与运营</w:t>
            </w:r>
          </w:p>
        </w:tc>
        <w:tc>
          <w:tcPr>
            <w:tcW w:w="75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40</w:t>
            </w:r>
          </w:p>
        </w:tc>
        <w:tc>
          <w:tcPr>
            <w:tcW w:w="815" w:type="pct"/>
            <w:tcBorders>
              <w:top w:val="nil"/>
              <w:left w:val="nil"/>
              <w:bottom w:val="single" w:color="auto" w:sz="4" w:space="0"/>
              <w:right w:val="single" w:color="auto" w:sz="4" w:space="0"/>
            </w:tcBorders>
          </w:tcPr>
          <w:p>
            <w:pPr>
              <w:widowControl/>
              <w:jc w:val="center"/>
              <w:rPr>
                <w:rFonts w:ascii="宋体" w:hAnsi="宋体" w:cs="宋体"/>
                <w:b/>
                <w:bCs/>
                <w:kern w:val="0"/>
                <w:sz w:val="24"/>
              </w:rPr>
            </w:pPr>
            <w:r>
              <w:rPr>
                <w:rFonts w:hint="eastAsia" w:ascii="宋体" w:hAnsi="宋体" w:cs="宋体"/>
                <w:b/>
                <w:bCs/>
                <w:kern w:val="0"/>
                <w:sz w:val="24"/>
              </w:rPr>
              <w:t>5500</w:t>
            </w:r>
          </w:p>
        </w:tc>
      </w:tr>
      <w:tr>
        <w:tblPrEx>
          <w:tblCellMar>
            <w:top w:w="0" w:type="dxa"/>
            <w:left w:w="108" w:type="dxa"/>
            <w:bottom w:w="0" w:type="dxa"/>
            <w:right w:w="108" w:type="dxa"/>
          </w:tblCellMar>
        </w:tblPrEx>
        <w:trPr>
          <w:trHeight w:val="375" w:hRule="atLeast"/>
        </w:trPr>
        <w:tc>
          <w:tcPr>
            <w:tcW w:w="3431"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kern w:val="0"/>
                <w:sz w:val="24"/>
              </w:rPr>
              <w:t>合计</w:t>
            </w:r>
          </w:p>
        </w:tc>
        <w:tc>
          <w:tcPr>
            <w:tcW w:w="75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600</w:t>
            </w:r>
          </w:p>
        </w:tc>
        <w:tc>
          <w:tcPr>
            <w:tcW w:w="815" w:type="pct"/>
            <w:tcBorders>
              <w:top w:val="single" w:color="auto" w:sz="4" w:space="0"/>
              <w:left w:val="nil"/>
              <w:bottom w:val="single" w:color="auto" w:sz="4" w:space="0"/>
              <w:right w:val="single" w:color="auto" w:sz="4" w:space="0"/>
            </w:tcBorders>
          </w:tcPr>
          <w:p>
            <w:pPr>
              <w:widowControl/>
              <w:jc w:val="center"/>
              <w:rPr>
                <w:rFonts w:ascii="宋体" w:hAnsi="宋体" w:cs="宋体"/>
                <w:b/>
                <w:bCs/>
                <w:kern w:val="0"/>
                <w:sz w:val="24"/>
              </w:rPr>
            </w:pPr>
          </w:p>
        </w:tc>
      </w:tr>
    </w:tbl>
    <w:p>
      <w:pPr>
        <w:widowControl/>
        <w:spacing w:line="500" w:lineRule="exact"/>
        <w:jc w:val="left"/>
        <w:rPr>
          <w:rFonts w:ascii="等线" w:hAnsi="等线" w:eastAsia="仿宋" w:cs="仿宋"/>
          <w:sz w:val="28"/>
          <w:szCs w:val="28"/>
        </w:rPr>
      </w:pPr>
    </w:p>
    <w:p>
      <w:pPr>
        <w:widowControl/>
        <w:spacing w:line="500" w:lineRule="exact"/>
        <w:jc w:val="left"/>
        <w:rPr>
          <w:rFonts w:ascii="等线" w:hAnsi="等线" w:eastAsia="仿宋" w:cs="仿宋"/>
          <w:sz w:val="28"/>
          <w:szCs w:val="28"/>
        </w:rPr>
      </w:pPr>
    </w:p>
    <w:tbl>
      <w:tblPr>
        <w:tblStyle w:val="12"/>
        <w:tblpPr w:leftFromText="180" w:rightFromText="180" w:vertAnchor="text" w:horzAnchor="page" w:tblpX="570" w:tblpY="1129"/>
        <w:tblOverlap w:val="never"/>
        <w:tblW w:w="110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0"/>
        <w:gridCol w:w="2560"/>
        <w:gridCol w:w="5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2680" w:type="dxa"/>
            <w:tcBorders>
              <w:top w:val="single" w:color="auto" w:sz="4" w:space="0"/>
              <w:left w:val="single" w:color="auto" w:sz="4" w:space="0"/>
              <w:bottom w:val="single" w:color="auto" w:sz="4" w:space="0"/>
              <w:right w:val="single" w:color="auto" w:sz="4" w:space="0"/>
            </w:tcBorders>
          </w:tcPr>
          <w:p>
            <w:pPr>
              <w:jc w:val="center"/>
              <w:rPr>
                <w:b/>
                <w:sz w:val="24"/>
              </w:rPr>
            </w:pPr>
            <w:r>
              <w:rPr>
                <w:rFonts w:hint="eastAsia"/>
                <w:b/>
                <w:sz w:val="24"/>
              </w:rPr>
              <w:t>专业名称</w:t>
            </w:r>
          </w:p>
        </w:tc>
        <w:tc>
          <w:tcPr>
            <w:tcW w:w="2560" w:type="dxa"/>
            <w:tcBorders>
              <w:top w:val="single" w:color="auto" w:sz="4" w:space="0"/>
              <w:left w:val="single" w:color="auto" w:sz="4" w:space="0"/>
              <w:bottom w:val="single" w:color="auto" w:sz="4" w:space="0"/>
              <w:right w:val="single" w:color="auto" w:sz="4" w:space="0"/>
            </w:tcBorders>
          </w:tcPr>
          <w:p>
            <w:pPr>
              <w:jc w:val="center"/>
              <w:rPr>
                <w:rFonts w:ascii="宋体" w:hAnsi="宋体"/>
                <w:b/>
                <w:sz w:val="24"/>
              </w:rPr>
            </w:pPr>
            <w:r>
              <w:rPr>
                <w:rFonts w:hint="eastAsia" w:ascii="宋体" w:hAnsi="宋体"/>
                <w:b/>
                <w:sz w:val="24"/>
              </w:rPr>
              <w:t>考试方向</w:t>
            </w:r>
          </w:p>
        </w:tc>
        <w:tc>
          <w:tcPr>
            <w:tcW w:w="5817" w:type="dxa"/>
            <w:tcBorders>
              <w:top w:val="single" w:color="auto" w:sz="4" w:space="0"/>
              <w:left w:val="single" w:color="auto" w:sz="4" w:space="0"/>
              <w:bottom w:val="single" w:color="auto" w:sz="4" w:space="0"/>
              <w:right w:val="single" w:color="auto" w:sz="4" w:space="0"/>
            </w:tcBorders>
          </w:tcPr>
          <w:p>
            <w:pPr>
              <w:jc w:val="center"/>
              <w:rPr>
                <w:rFonts w:ascii="宋体" w:hAnsi="宋体"/>
                <w:b/>
                <w:sz w:val="24"/>
              </w:rPr>
            </w:pPr>
            <w:r>
              <w:rPr>
                <w:rFonts w:hint="eastAsia" w:ascii="宋体" w:hAnsi="宋体"/>
                <w:b/>
                <w:sz w:val="24"/>
              </w:rPr>
              <w:t>职业技能测试考试内容及分值比例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2680" w:type="dxa"/>
            <w:tcBorders>
              <w:top w:val="single" w:color="auto" w:sz="4" w:space="0"/>
              <w:left w:val="single" w:color="auto" w:sz="4" w:space="0"/>
              <w:bottom w:val="single" w:color="auto" w:sz="4" w:space="0"/>
              <w:right w:val="single" w:color="auto" w:sz="4" w:space="0"/>
            </w:tcBorders>
          </w:tcPr>
          <w:p>
            <w:pPr>
              <w:jc w:val="center"/>
              <w:rPr>
                <w:b/>
                <w:sz w:val="24"/>
              </w:rPr>
            </w:pPr>
            <w:r>
              <w:rPr>
                <w:rFonts w:hint="eastAsia"/>
                <w:b/>
                <w:sz w:val="24"/>
              </w:rPr>
              <w:t>戏曲音乐</w:t>
            </w:r>
          </w:p>
        </w:tc>
        <w:tc>
          <w:tcPr>
            <w:tcW w:w="2560" w:type="dxa"/>
            <w:tcBorders>
              <w:top w:val="single" w:color="auto" w:sz="4" w:space="0"/>
              <w:left w:val="single" w:color="auto" w:sz="4" w:space="0"/>
              <w:bottom w:val="single" w:color="auto" w:sz="4" w:space="0"/>
              <w:right w:val="single" w:color="auto" w:sz="4" w:space="0"/>
            </w:tcBorders>
          </w:tcPr>
          <w:p>
            <w:pPr>
              <w:jc w:val="center"/>
              <w:rPr>
                <w:b/>
                <w:sz w:val="24"/>
              </w:rPr>
            </w:pPr>
          </w:p>
        </w:tc>
        <w:tc>
          <w:tcPr>
            <w:tcW w:w="5817" w:type="dxa"/>
            <w:tcBorders>
              <w:top w:val="single" w:color="auto" w:sz="4" w:space="0"/>
              <w:left w:val="single" w:color="auto" w:sz="4" w:space="0"/>
              <w:bottom w:val="single" w:color="auto" w:sz="4" w:space="0"/>
              <w:right w:val="single" w:color="auto" w:sz="4" w:space="0"/>
            </w:tcBorders>
          </w:tcPr>
          <w:p>
            <w:pPr>
              <w:jc w:val="center"/>
              <w:rPr>
                <w:rFonts w:ascii="宋体" w:hAnsi="宋体"/>
                <w:b/>
                <w:sz w:val="24"/>
              </w:rPr>
            </w:pPr>
            <w:r>
              <w:rPr>
                <w:rFonts w:hint="eastAsia"/>
                <w:b/>
                <w:sz w:val="24"/>
              </w:rPr>
              <w:t>演奏、视唱、演唱（100%）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2680" w:type="dxa"/>
            <w:tcBorders>
              <w:top w:val="single" w:color="auto" w:sz="4" w:space="0"/>
              <w:left w:val="single" w:color="auto" w:sz="4" w:space="0"/>
              <w:bottom w:val="single" w:color="auto" w:sz="4" w:space="0"/>
              <w:right w:val="single" w:color="auto" w:sz="4" w:space="0"/>
            </w:tcBorders>
          </w:tcPr>
          <w:p>
            <w:pPr>
              <w:jc w:val="center"/>
              <w:rPr>
                <w:b/>
                <w:sz w:val="24"/>
              </w:rPr>
            </w:pPr>
            <w:r>
              <w:rPr>
                <w:rFonts w:hint="eastAsia"/>
                <w:b/>
                <w:sz w:val="24"/>
              </w:rPr>
              <w:t>戏曲表演</w:t>
            </w:r>
          </w:p>
        </w:tc>
        <w:tc>
          <w:tcPr>
            <w:tcW w:w="2560" w:type="dxa"/>
            <w:tcBorders>
              <w:top w:val="single" w:color="auto" w:sz="4" w:space="0"/>
              <w:left w:val="single" w:color="auto" w:sz="4" w:space="0"/>
              <w:bottom w:val="single" w:color="auto" w:sz="4" w:space="0"/>
              <w:right w:val="single" w:color="auto" w:sz="4" w:space="0"/>
            </w:tcBorders>
          </w:tcPr>
          <w:p>
            <w:pPr>
              <w:jc w:val="center"/>
              <w:rPr>
                <w:b/>
                <w:sz w:val="24"/>
              </w:rPr>
            </w:pPr>
            <w:r>
              <w:rPr>
                <w:rFonts w:hint="eastAsia"/>
                <w:b/>
                <w:sz w:val="24"/>
              </w:rPr>
              <w:t>湘剧方向</w:t>
            </w:r>
          </w:p>
        </w:tc>
        <w:tc>
          <w:tcPr>
            <w:tcW w:w="5817" w:type="dxa"/>
            <w:tcBorders>
              <w:top w:val="single" w:color="auto" w:sz="4" w:space="0"/>
              <w:left w:val="single" w:color="auto" w:sz="4" w:space="0"/>
              <w:bottom w:val="single" w:color="auto" w:sz="4" w:space="0"/>
              <w:right w:val="single" w:color="auto" w:sz="4" w:space="0"/>
            </w:tcBorders>
          </w:tcPr>
          <w:p>
            <w:pPr>
              <w:jc w:val="center"/>
              <w:rPr>
                <w:b/>
                <w:sz w:val="24"/>
              </w:rPr>
            </w:pPr>
            <w:r>
              <w:rPr>
                <w:rFonts w:hint="eastAsia"/>
                <w:b/>
                <w:sz w:val="24"/>
              </w:rPr>
              <w:t>演唱、念白、形体、表演（100%）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680" w:type="dxa"/>
            <w:tcBorders>
              <w:top w:val="single" w:color="auto" w:sz="4" w:space="0"/>
              <w:left w:val="single" w:color="auto" w:sz="4" w:space="0"/>
              <w:bottom w:val="single" w:color="auto" w:sz="4" w:space="0"/>
              <w:right w:val="single" w:color="auto" w:sz="4" w:space="0"/>
            </w:tcBorders>
          </w:tcPr>
          <w:p>
            <w:pPr>
              <w:jc w:val="center"/>
              <w:rPr>
                <w:b/>
                <w:sz w:val="24"/>
              </w:rPr>
            </w:pPr>
            <w:r>
              <w:rPr>
                <w:rFonts w:hint="eastAsia"/>
                <w:b/>
                <w:sz w:val="24"/>
              </w:rPr>
              <w:t>戏曲表演</w:t>
            </w:r>
          </w:p>
        </w:tc>
        <w:tc>
          <w:tcPr>
            <w:tcW w:w="2560" w:type="dxa"/>
            <w:tcBorders>
              <w:top w:val="single" w:color="auto" w:sz="4" w:space="0"/>
              <w:left w:val="single" w:color="auto" w:sz="4" w:space="0"/>
              <w:bottom w:val="single" w:color="auto" w:sz="4" w:space="0"/>
              <w:right w:val="single" w:color="auto" w:sz="4" w:space="0"/>
            </w:tcBorders>
          </w:tcPr>
          <w:p>
            <w:pPr>
              <w:jc w:val="center"/>
              <w:rPr>
                <w:b/>
                <w:color w:val="000000" w:themeColor="text1"/>
                <w:sz w:val="24"/>
                <w14:textFill>
                  <w14:solidFill>
                    <w14:schemeClr w14:val="tx1"/>
                  </w14:solidFill>
                </w14:textFill>
              </w:rPr>
            </w:pPr>
            <w:r>
              <w:rPr>
                <w:rFonts w:hint="eastAsia" w:ascii="宋体" w:hAnsi="宋体" w:cs="宋体"/>
                <w:b/>
                <w:bCs/>
                <w:color w:val="000000" w:themeColor="text1"/>
                <w:kern w:val="0"/>
                <w:sz w:val="24"/>
                <w:lang w:bidi="ar"/>
                <w14:textFill>
                  <w14:solidFill>
                    <w14:schemeClr w14:val="tx1"/>
                  </w14:solidFill>
                </w14:textFill>
              </w:rPr>
              <w:t>杂技方向</w:t>
            </w:r>
          </w:p>
        </w:tc>
        <w:tc>
          <w:tcPr>
            <w:tcW w:w="5817"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sz w:val="24"/>
              </w:rPr>
            </w:pPr>
            <w:r>
              <w:rPr>
                <w:rFonts w:hint="eastAsia" w:ascii="宋体" w:hAnsi="宋体" w:cs="宋体"/>
                <w:b/>
                <w:bCs/>
                <w:sz w:val="24"/>
              </w:rPr>
              <w:t>综合素质测评（10%）、顶功（20%）、软开（15%）、跟头（15%）、</w:t>
            </w:r>
          </w:p>
          <w:p>
            <w:pPr>
              <w:jc w:val="center"/>
              <w:rPr>
                <w:b/>
                <w:sz w:val="24"/>
              </w:rPr>
            </w:pPr>
            <w:r>
              <w:rPr>
                <w:rFonts w:hint="eastAsia" w:ascii="宋体" w:hAnsi="宋体" w:cs="宋体"/>
                <w:b/>
                <w:bCs/>
                <w:sz w:val="24"/>
              </w:rPr>
              <w:t>素质（10%）、节目（30%）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2680" w:type="dxa"/>
            <w:tcBorders>
              <w:top w:val="single" w:color="auto" w:sz="4" w:space="0"/>
              <w:left w:val="single" w:color="auto" w:sz="4" w:space="0"/>
              <w:bottom w:val="single" w:color="auto" w:sz="4" w:space="0"/>
              <w:right w:val="single" w:color="auto" w:sz="4" w:space="0"/>
            </w:tcBorders>
          </w:tcPr>
          <w:p>
            <w:pPr>
              <w:jc w:val="center"/>
              <w:rPr>
                <w:b/>
                <w:sz w:val="24"/>
              </w:rPr>
            </w:pPr>
            <w:r>
              <w:rPr>
                <w:rFonts w:hint="eastAsia"/>
                <w:b/>
                <w:sz w:val="24"/>
              </w:rPr>
              <w:t>戏曲表演</w:t>
            </w:r>
          </w:p>
        </w:tc>
        <w:tc>
          <w:tcPr>
            <w:tcW w:w="2560" w:type="dxa"/>
            <w:tcBorders>
              <w:top w:val="single" w:color="auto" w:sz="4" w:space="0"/>
              <w:left w:val="single" w:color="auto" w:sz="4" w:space="0"/>
              <w:bottom w:val="single" w:color="auto" w:sz="4" w:space="0"/>
              <w:right w:val="single" w:color="auto" w:sz="4" w:space="0"/>
            </w:tcBorders>
          </w:tcPr>
          <w:p>
            <w:pPr>
              <w:jc w:val="center"/>
              <w:rPr>
                <w:b/>
                <w:color w:val="000000" w:themeColor="text1"/>
                <w:sz w:val="24"/>
                <w14:textFill>
                  <w14:solidFill>
                    <w14:schemeClr w14:val="tx1"/>
                  </w14:solidFill>
                </w14:textFill>
              </w:rPr>
            </w:pPr>
            <w:r>
              <w:rPr>
                <w:rFonts w:hint="eastAsia" w:ascii="宋体" w:hAnsi="宋体" w:cs="宋体"/>
                <w:b/>
                <w:bCs/>
                <w:color w:val="000000" w:themeColor="text1"/>
                <w:kern w:val="0"/>
                <w:sz w:val="24"/>
                <w:lang w:bidi="ar"/>
                <w14:textFill>
                  <w14:solidFill>
                    <w14:schemeClr w14:val="tx1"/>
                  </w14:solidFill>
                </w14:textFill>
              </w:rPr>
              <w:t>石门荆河戏方向</w:t>
            </w:r>
          </w:p>
        </w:tc>
        <w:tc>
          <w:tcPr>
            <w:tcW w:w="5817" w:type="dxa"/>
            <w:tcBorders>
              <w:top w:val="single" w:color="auto" w:sz="4" w:space="0"/>
              <w:left w:val="single" w:color="auto" w:sz="4" w:space="0"/>
              <w:bottom w:val="single" w:color="auto" w:sz="4" w:space="0"/>
              <w:right w:val="single" w:color="auto" w:sz="4" w:space="0"/>
            </w:tcBorders>
          </w:tcPr>
          <w:p>
            <w:pPr>
              <w:jc w:val="center"/>
              <w:rPr>
                <w:b/>
                <w:sz w:val="24"/>
              </w:rPr>
            </w:pPr>
            <w:r>
              <w:rPr>
                <w:rFonts w:hint="eastAsia"/>
                <w:b/>
                <w:sz w:val="24"/>
              </w:rPr>
              <w:t>演唱（荆河戏唱腔）、念白、形体、表演（100%）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2680" w:type="dxa"/>
            <w:tcBorders>
              <w:top w:val="single" w:color="auto" w:sz="4" w:space="0"/>
              <w:left w:val="single" w:color="auto" w:sz="4" w:space="0"/>
              <w:bottom w:val="single" w:color="auto" w:sz="4" w:space="0"/>
              <w:right w:val="single" w:color="auto" w:sz="4" w:space="0"/>
            </w:tcBorders>
            <w:vAlign w:val="center"/>
          </w:tcPr>
          <w:p>
            <w:pPr>
              <w:widowControl/>
              <w:jc w:val="center"/>
              <w:rPr>
                <w:b/>
                <w:sz w:val="24"/>
              </w:rPr>
            </w:pPr>
            <w:r>
              <w:rPr>
                <w:rFonts w:hint="eastAsia"/>
                <w:b/>
                <w:sz w:val="24"/>
              </w:rPr>
              <w:t>音乐剧表演</w:t>
            </w:r>
          </w:p>
        </w:tc>
        <w:tc>
          <w:tcPr>
            <w:tcW w:w="2560" w:type="dxa"/>
            <w:tcBorders>
              <w:top w:val="single" w:color="auto" w:sz="4" w:space="0"/>
              <w:left w:val="single" w:color="auto" w:sz="4" w:space="0"/>
              <w:bottom w:val="single" w:color="auto" w:sz="4" w:space="0"/>
              <w:right w:val="single" w:color="auto" w:sz="4" w:space="0"/>
            </w:tcBorders>
          </w:tcPr>
          <w:p>
            <w:pPr>
              <w:jc w:val="center"/>
              <w:rPr>
                <w:b/>
                <w:sz w:val="24"/>
              </w:rPr>
            </w:pPr>
          </w:p>
        </w:tc>
        <w:tc>
          <w:tcPr>
            <w:tcW w:w="5817" w:type="dxa"/>
            <w:tcBorders>
              <w:top w:val="single" w:color="auto" w:sz="4" w:space="0"/>
              <w:left w:val="single" w:color="auto" w:sz="4" w:space="0"/>
              <w:bottom w:val="single" w:color="auto" w:sz="4" w:space="0"/>
              <w:right w:val="single" w:color="auto" w:sz="4" w:space="0"/>
            </w:tcBorders>
          </w:tcPr>
          <w:p>
            <w:pPr>
              <w:jc w:val="center"/>
              <w:rPr>
                <w:b/>
                <w:sz w:val="24"/>
              </w:rPr>
            </w:pPr>
            <w:r>
              <w:rPr>
                <w:rFonts w:hint="eastAsia"/>
                <w:b/>
                <w:sz w:val="24"/>
              </w:rPr>
              <w:t>演唱、朗诵、表演、形体（100%）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2680" w:type="dxa"/>
            <w:tcBorders>
              <w:top w:val="single" w:color="auto" w:sz="4" w:space="0"/>
              <w:left w:val="single" w:color="auto" w:sz="4" w:space="0"/>
              <w:bottom w:val="single" w:color="auto" w:sz="4" w:space="0"/>
              <w:right w:val="single" w:color="auto" w:sz="4" w:space="0"/>
            </w:tcBorders>
            <w:vAlign w:val="center"/>
          </w:tcPr>
          <w:p>
            <w:pPr>
              <w:widowControl/>
              <w:jc w:val="center"/>
              <w:rPr>
                <w:b/>
                <w:sz w:val="24"/>
              </w:rPr>
            </w:pPr>
            <w:r>
              <w:rPr>
                <w:rFonts w:hint="eastAsia"/>
                <w:b/>
                <w:sz w:val="24"/>
              </w:rPr>
              <w:t>戏剧影视表演</w:t>
            </w:r>
          </w:p>
        </w:tc>
        <w:tc>
          <w:tcPr>
            <w:tcW w:w="2560" w:type="dxa"/>
            <w:tcBorders>
              <w:top w:val="single" w:color="auto" w:sz="4" w:space="0"/>
              <w:left w:val="single" w:color="auto" w:sz="4" w:space="0"/>
              <w:bottom w:val="single" w:color="auto" w:sz="4" w:space="0"/>
              <w:right w:val="single" w:color="auto" w:sz="4" w:space="0"/>
            </w:tcBorders>
          </w:tcPr>
          <w:p>
            <w:pPr>
              <w:ind w:left="361" w:hanging="361" w:hangingChars="150"/>
              <w:jc w:val="center"/>
              <w:rPr>
                <w:b/>
                <w:sz w:val="24"/>
              </w:rPr>
            </w:pPr>
          </w:p>
        </w:tc>
        <w:tc>
          <w:tcPr>
            <w:tcW w:w="5817" w:type="dxa"/>
            <w:tcBorders>
              <w:top w:val="single" w:color="auto" w:sz="4" w:space="0"/>
              <w:left w:val="single" w:color="auto" w:sz="4" w:space="0"/>
              <w:bottom w:val="single" w:color="auto" w:sz="4" w:space="0"/>
              <w:right w:val="single" w:color="auto" w:sz="4" w:space="0"/>
            </w:tcBorders>
          </w:tcPr>
          <w:p>
            <w:pPr>
              <w:jc w:val="center"/>
              <w:rPr>
                <w:b/>
                <w:sz w:val="24"/>
              </w:rPr>
            </w:pPr>
            <w:r>
              <w:rPr>
                <w:rFonts w:hint="eastAsia"/>
                <w:b/>
                <w:sz w:val="24"/>
              </w:rPr>
              <w:t>声乐、台词、形体、表演（100%）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2680" w:type="dxa"/>
            <w:tcBorders>
              <w:top w:val="single" w:color="auto" w:sz="4" w:space="0"/>
              <w:left w:val="single" w:color="auto" w:sz="4" w:space="0"/>
              <w:bottom w:val="single" w:color="auto" w:sz="4" w:space="0"/>
              <w:right w:val="single" w:color="auto" w:sz="4" w:space="0"/>
            </w:tcBorders>
          </w:tcPr>
          <w:p>
            <w:pPr>
              <w:ind w:left="118" w:hanging="118" w:hangingChars="49"/>
              <w:jc w:val="center"/>
              <w:rPr>
                <w:b/>
                <w:sz w:val="24"/>
              </w:rPr>
            </w:pPr>
            <w:r>
              <w:rPr>
                <w:rFonts w:hint="eastAsia"/>
                <w:b/>
                <w:sz w:val="24"/>
              </w:rPr>
              <w:t>音乐制作</w:t>
            </w:r>
          </w:p>
        </w:tc>
        <w:tc>
          <w:tcPr>
            <w:tcW w:w="2560" w:type="dxa"/>
            <w:tcBorders>
              <w:top w:val="single" w:color="auto" w:sz="4" w:space="0"/>
              <w:left w:val="single" w:color="auto" w:sz="4" w:space="0"/>
              <w:bottom w:val="single" w:color="auto" w:sz="4" w:space="0"/>
              <w:right w:val="single" w:color="auto" w:sz="4" w:space="0"/>
            </w:tcBorders>
          </w:tcPr>
          <w:p>
            <w:pPr>
              <w:jc w:val="center"/>
              <w:rPr>
                <w:b/>
                <w:sz w:val="24"/>
              </w:rPr>
            </w:pPr>
          </w:p>
        </w:tc>
        <w:tc>
          <w:tcPr>
            <w:tcW w:w="5817" w:type="dxa"/>
            <w:tcBorders>
              <w:top w:val="single" w:color="auto" w:sz="4" w:space="0"/>
              <w:left w:val="single" w:color="auto" w:sz="4" w:space="0"/>
              <w:bottom w:val="single" w:color="auto" w:sz="4" w:space="0"/>
              <w:right w:val="single" w:color="auto" w:sz="4" w:space="0"/>
            </w:tcBorders>
          </w:tcPr>
          <w:p>
            <w:pPr>
              <w:jc w:val="center"/>
              <w:rPr>
                <w:b/>
                <w:sz w:val="24"/>
              </w:rPr>
            </w:pPr>
            <w:r>
              <w:rPr>
                <w:rFonts w:hint="eastAsia"/>
                <w:b/>
                <w:sz w:val="24"/>
              </w:rPr>
              <w:t>演奏、演唱（二选一）、视唱练耳（100%）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2680" w:type="dxa"/>
            <w:tcBorders>
              <w:top w:val="single" w:color="auto" w:sz="4" w:space="0"/>
              <w:left w:val="single" w:color="auto" w:sz="4" w:space="0"/>
              <w:bottom w:val="single" w:color="auto" w:sz="4" w:space="0"/>
              <w:right w:val="single" w:color="auto" w:sz="4" w:space="0"/>
            </w:tcBorders>
          </w:tcPr>
          <w:p>
            <w:pPr>
              <w:ind w:left="118" w:hanging="118" w:hangingChars="49"/>
              <w:jc w:val="center"/>
              <w:rPr>
                <w:b/>
                <w:sz w:val="24"/>
              </w:rPr>
            </w:pPr>
            <w:r>
              <w:rPr>
                <w:rFonts w:hint="eastAsia"/>
                <w:b/>
                <w:sz w:val="24"/>
              </w:rPr>
              <w:t>钢琴调律</w:t>
            </w:r>
          </w:p>
        </w:tc>
        <w:tc>
          <w:tcPr>
            <w:tcW w:w="2560" w:type="dxa"/>
            <w:tcBorders>
              <w:top w:val="single" w:color="auto" w:sz="4" w:space="0"/>
              <w:left w:val="single" w:color="auto" w:sz="4" w:space="0"/>
              <w:bottom w:val="single" w:color="auto" w:sz="4" w:space="0"/>
              <w:right w:val="single" w:color="auto" w:sz="4" w:space="0"/>
            </w:tcBorders>
          </w:tcPr>
          <w:p>
            <w:pPr>
              <w:jc w:val="center"/>
              <w:rPr>
                <w:b/>
                <w:sz w:val="24"/>
              </w:rPr>
            </w:pPr>
          </w:p>
        </w:tc>
        <w:tc>
          <w:tcPr>
            <w:tcW w:w="5817" w:type="dxa"/>
            <w:tcBorders>
              <w:top w:val="single" w:color="auto" w:sz="4" w:space="0"/>
              <w:left w:val="single" w:color="auto" w:sz="4" w:space="0"/>
              <w:bottom w:val="single" w:color="auto" w:sz="4" w:space="0"/>
              <w:right w:val="single" w:color="auto" w:sz="4" w:space="0"/>
            </w:tcBorders>
          </w:tcPr>
          <w:p>
            <w:pPr>
              <w:jc w:val="center"/>
              <w:rPr>
                <w:b/>
                <w:sz w:val="24"/>
              </w:rPr>
            </w:pPr>
            <w:r>
              <w:rPr>
                <w:rFonts w:hint="eastAsia"/>
                <w:b/>
                <w:sz w:val="24"/>
              </w:rPr>
              <w:t>演奏、演唱（二选一）、视唱练耳（100%）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2680" w:type="dxa"/>
            <w:vMerge w:val="restart"/>
            <w:tcBorders>
              <w:top w:val="single" w:color="auto" w:sz="4" w:space="0"/>
              <w:left w:val="single" w:color="auto" w:sz="4" w:space="0"/>
              <w:right w:val="single" w:color="auto" w:sz="4" w:space="0"/>
            </w:tcBorders>
          </w:tcPr>
          <w:p>
            <w:pPr>
              <w:ind w:left="708" w:hanging="708" w:hangingChars="294"/>
              <w:jc w:val="center"/>
              <w:rPr>
                <w:b/>
                <w:sz w:val="24"/>
              </w:rPr>
            </w:pPr>
          </w:p>
          <w:p>
            <w:pPr>
              <w:ind w:left="708" w:hanging="708" w:hangingChars="294"/>
              <w:jc w:val="center"/>
              <w:rPr>
                <w:b/>
                <w:sz w:val="24"/>
              </w:rPr>
            </w:pPr>
          </w:p>
          <w:p>
            <w:pPr>
              <w:jc w:val="center"/>
              <w:rPr>
                <w:b/>
                <w:sz w:val="24"/>
              </w:rPr>
            </w:pPr>
          </w:p>
          <w:p>
            <w:pPr>
              <w:jc w:val="center"/>
              <w:rPr>
                <w:b/>
                <w:sz w:val="24"/>
              </w:rPr>
            </w:pPr>
          </w:p>
          <w:p>
            <w:pPr>
              <w:jc w:val="center"/>
              <w:rPr>
                <w:b/>
                <w:sz w:val="24"/>
              </w:rPr>
            </w:pPr>
            <w:r>
              <w:rPr>
                <w:rFonts w:hint="eastAsia"/>
                <w:b/>
                <w:sz w:val="24"/>
              </w:rPr>
              <w:t>音乐表演</w:t>
            </w:r>
          </w:p>
        </w:tc>
        <w:tc>
          <w:tcPr>
            <w:tcW w:w="2560" w:type="dxa"/>
            <w:tcBorders>
              <w:top w:val="single" w:color="auto" w:sz="4" w:space="0"/>
              <w:left w:val="single" w:color="auto" w:sz="4" w:space="0"/>
              <w:bottom w:val="single" w:color="auto" w:sz="4" w:space="0"/>
              <w:right w:val="single" w:color="auto" w:sz="4" w:space="0"/>
            </w:tcBorders>
          </w:tcPr>
          <w:p>
            <w:pPr>
              <w:jc w:val="center"/>
              <w:rPr>
                <w:b/>
                <w:sz w:val="24"/>
              </w:rPr>
            </w:pPr>
            <w:r>
              <w:rPr>
                <w:rFonts w:hint="eastAsia"/>
                <w:b/>
                <w:sz w:val="24"/>
              </w:rPr>
              <w:t>中国歌剧方向</w:t>
            </w:r>
          </w:p>
        </w:tc>
        <w:tc>
          <w:tcPr>
            <w:tcW w:w="5817" w:type="dxa"/>
            <w:tcBorders>
              <w:top w:val="single" w:color="auto" w:sz="4" w:space="0"/>
              <w:left w:val="single" w:color="auto" w:sz="4" w:space="0"/>
              <w:bottom w:val="single" w:color="auto" w:sz="4" w:space="0"/>
              <w:right w:val="single" w:color="auto" w:sz="4" w:space="0"/>
            </w:tcBorders>
          </w:tcPr>
          <w:p>
            <w:pPr>
              <w:jc w:val="center"/>
              <w:rPr>
                <w:b/>
                <w:sz w:val="24"/>
              </w:rPr>
            </w:pPr>
            <w:r>
              <w:rPr>
                <w:rFonts w:hint="eastAsia"/>
                <w:b/>
                <w:sz w:val="24"/>
              </w:rPr>
              <w:t>演唱中国歌剧作品一首、朗诵、形体、表演、视唱练耳（100%）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2680" w:type="dxa"/>
            <w:vMerge w:val="continue"/>
            <w:tcBorders>
              <w:left w:val="single" w:color="auto" w:sz="4" w:space="0"/>
              <w:right w:val="single" w:color="auto" w:sz="4" w:space="0"/>
            </w:tcBorders>
            <w:vAlign w:val="center"/>
          </w:tcPr>
          <w:p>
            <w:pPr>
              <w:widowControl/>
              <w:ind w:firstLine="588" w:firstLineChars="244"/>
              <w:jc w:val="center"/>
              <w:rPr>
                <w:b/>
                <w:sz w:val="24"/>
              </w:rPr>
            </w:pPr>
          </w:p>
        </w:tc>
        <w:tc>
          <w:tcPr>
            <w:tcW w:w="2560" w:type="dxa"/>
            <w:tcBorders>
              <w:top w:val="single" w:color="auto" w:sz="4" w:space="0"/>
              <w:left w:val="single" w:color="auto" w:sz="4" w:space="0"/>
              <w:bottom w:val="single" w:color="auto" w:sz="4" w:space="0"/>
              <w:right w:val="single" w:color="auto" w:sz="4" w:space="0"/>
            </w:tcBorders>
          </w:tcPr>
          <w:p>
            <w:pPr>
              <w:jc w:val="center"/>
              <w:rPr>
                <w:b/>
                <w:sz w:val="24"/>
              </w:rPr>
            </w:pPr>
            <w:r>
              <w:rPr>
                <w:rFonts w:hint="eastAsia"/>
                <w:b/>
                <w:sz w:val="24"/>
              </w:rPr>
              <w:t>民族美声演唱方向</w:t>
            </w:r>
          </w:p>
        </w:tc>
        <w:tc>
          <w:tcPr>
            <w:tcW w:w="5817" w:type="dxa"/>
            <w:tcBorders>
              <w:top w:val="single" w:color="auto" w:sz="4" w:space="0"/>
              <w:left w:val="single" w:color="auto" w:sz="4" w:space="0"/>
              <w:bottom w:val="single" w:color="auto" w:sz="4" w:space="0"/>
              <w:right w:val="single" w:color="auto" w:sz="4" w:space="0"/>
            </w:tcBorders>
          </w:tcPr>
          <w:p>
            <w:pPr>
              <w:jc w:val="center"/>
              <w:rPr>
                <w:b/>
                <w:sz w:val="24"/>
              </w:rPr>
            </w:pPr>
            <w:r>
              <w:rPr>
                <w:rFonts w:hint="eastAsia"/>
                <w:b/>
                <w:sz w:val="24"/>
              </w:rPr>
              <w:t>演唱、朗诵、形体或器乐演奏、视唱练耳（100%）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2680" w:type="dxa"/>
            <w:vMerge w:val="continue"/>
            <w:tcBorders>
              <w:left w:val="single" w:color="auto" w:sz="4" w:space="0"/>
              <w:right w:val="single" w:color="auto" w:sz="4" w:space="0"/>
            </w:tcBorders>
            <w:vAlign w:val="center"/>
          </w:tcPr>
          <w:p>
            <w:pPr>
              <w:widowControl/>
              <w:ind w:firstLine="588" w:firstLineChars="244"/>
              <w:jc w:val="center"/>
              <w:rPr>
                <w:b/>
                <w:sz w:val="24"/>
              </w:rPr>
            </w:pPr>
          </w:p>
        </w:tc>
        <w:tc>
          <w:tcPr>
            <w:tcW w:w="2560" w:type="dxa"/>
            <w:tcBorders>
              <w:top w:val="single" w:color="auto" w:sz="4" w:space="0"/>
              <w:left w:val="single" w:color="auto" w:sz="4" w:space="0"/>
              <w:bottom w:val="single" w:color="auto" w:sz="4" w:space="0"/>
              <w:right w:val="single" w:color="auto" w:sz="4" w:space="0"/>
            </w:tcBorders>
          </w:tcPr>
          <w:p>
            <w:pPr>
              <w:jc w:val="center"/>
              <w:rPr>
                <w:b/>
                <w:sz w:val="24"/>
              </w:rPr>
            </w:pPr>
            <w:r>
              <w:rPr>
                <w:rFonts w:hint="eastAsia"/>
                <w:b/>
                <w:sz w:val="24"/>
              </w:rPr>
              <w:t>流行演唱演奏方向</w:t>
            </w:r>
          </w:p>
        </w:tc>
        <w:tc>
          <w:tcPr>
            <w:tcW w:w="5817" w:type="dxa"/>
            <w:tcBorders>
              <w:top w:val="single" w:color="auto" w:sz="4" w:space="0"/>
              <w:left w:val="single" w:color="auto" w:sz="4" w:space="0"/>
              <w:bottom w:val="single" w:color="auto" w:sz="4" w:space="0"/>
              <w:right w:val="single" w:color="auto" w:sz="4" w:space="0"/>
            </w:tcBorders>
          </w:tcPr>
          <w:p>
            <w:pPr>
              <w:jc w:val="center"/>
              <w:rPr>
                <w:b/>
                <w:sz w:val="24"/>
              </w:rPr>
            </w:pPr>
            <w:r>
              <w:rPr>
                <w:rFonts w:hint="eastAsia"/>
                <w:b/>
                <w:sz w:val="24"/>
              </w:rPr>
              <w:t>演唱方向：演唱、形体或器乐演奏、视唱练耳（100%）</w:t>
            </w:r>
          </w:p>
          <w:p>
            <w:pPr>
              <w:jc w:val="center"/>
              <w:rPr>
                <w:b/>
                <w:sz w:val="24"/>
              </w:rPr>
            </w:pPr>
            <w:r>
              <w:rPr>
                <w:b/>
                <w:sz w:val="24"/>
              </w:rPr>
              <w:t>演奏方向</w:t>
            </w:r>
            <w:r>
              <w:rPr>
                <w:rFonts w:hint="eastAsia"/>
                <w:b/>
                <w:sz w:val="24"/>
              </w:rPr>
              <w:t>：</w:t>
            </w:r>
            <w:r>
              <w:rPr>
                <w:b/>
                <w:sz w:val="24"/>
              </w:rPr>
              <w:t>演奏、视奏、演唱、视唱练耳</w:t>
            </w:r>
            <w:r>
              <w:rPr>
                <w:rFonts w:hint="eastAsia"/>
                <w:b/>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2680" w:type="dxa"/>
            <w:vMerge w:val="continue"/>
            <w:tcBorders>
              <w:left w:val="single" w:color="auto" w:sz="4" w:space="0"/>
              <w:right w:val="single" w:color="auto" w:sz="4" w:space="0"/>
            </w:tcBorders>
            <w:vAlign w:val="center"/>
          </w:tcPr>
          <w:p>
            <w:pPr>
              <w:widowControl/>
              <w:ind w:firstLine="588" w:firstLineChars="244"/>
              <w:jc w:val="center"/>
              <w:rPr>
                <w:b/>
                <w:sz w:val="24"/>
              </w:rPr>
            </w:pPr>
          </w:p>
        </w:tc>
        <w:tc>
          <w:tcPr>
            <w:tcW w:w="2560" w:type="dxa"/>
            <w:tcBorders>
              <w:top w:val="single" w:color="auto" w:sz="4" w:space="0"/>
              <w:left w:val="single" w:color="auto" w:sz="4" w:space="0"/>
              <w:bottom w:val="single" w:color="auto" w:sz="4" w:space="0"/>
              <w:right w:val="single" w:color="auto" w:sz="4" w:space="0"/>
            </w:tcBorders>
          </w:tcPr>
          <w:p>
            <w:pPr>
              <w:jc w:val="center"/>
              <w:rPr>
                <w:b/>
                <w:sz w:val="24"/>
              </w:rPr>
            </w:pPr>
            <w:r>
              <w:rPr>
                <w:rFonts w:hint="eastAsia"/>
                <w:b/>
                <w:sz w:val="24"/>
              </w:rPr>
              <w:t>键盘方向</w:t>
            </w:r>
          </w:p>
        </w:tc>
        <w:tc>
          <w:tcPr>
            <w:tcW w:w="5817" w:type="dxa"/>
            <w:tcBorders>
              <w:top w:val="single" w:color="auto" w:sz="4" w:space="0"/>
              <w:left w:val="single" w:color="auto" w:sz="4" w:space="0"/>
              <w:bottom w:val="single" w:color="auto" w:sz="4" w:space="0"/>
              <w:right w:val="single" w:color="auto" w:sz="4" w:space="0"/>
            </w:tcBorders>
          </w:tcPr>
          <w:p>
            <w:pPr>
              <w:jc w:val="center"/>
              <w:rPr>
                <w:b/>
                <w:sz w:val="24"/>
              </w:rPr>
            </w:pPr>
            <w:r>
              <w:rPr>
                <w:rFonts w:hint="eastAsia"/>
                <w:b/>
                <w:sz w:val="24"/>
              </w:rPr>
              <w:t>演奏乐曲一首、练习曲一首、视奏、演唱、视唱练耳（100%）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2680" w:type="dxa"/>
            <w:vMerge w:val="continue"/>
            <w:tcBorders>
              <w:left w:val="single" w:color="auto" w:sz="4" w:space="0"/>
              <w:bottom w:val="single" w:color="auto" w:sz="4" w:space="0"/>
              <w:right w:val="single" w:color="auto" w:sz="4" w:space="0"/>
            </w:tcBorders>
            <w:vAlign w:val="center"/>
          </w:tcPr>
          <w:p>
            <w:pPr>
              <w:widowControl/>
              <w:ind w:firstLine="588" w:firstLineChars="244"/>
              <w:jc w:val="center"/>
              <w:rPr>
                <w:b/>
                <w:sz w:val="24"/>
              </w:rPr>
            </w:pPr>
          </w:p>
        </w:tc>
        <w:tc>
          <w:tcPr>
            <w:tcW w:w="2560" w:type="dxa"/>
            <w:tcBorders>
              <w:top w:val="single" w:color="auto" w:sz="4" w:space="0"/>
              <w:left w:val="single" w:color="auto" w:sz="4" w:space="0"/>
              <w:bottom w:val="single" w:color="auto" w:sz="4" w:space="0"/>
              <w:right w:val="single" w:color="auto" w:sz="4" w:space="0"/>
            </w:tcBorders>
          </w:tcPr>
          <w:p>
            <w:pPr>
              <w:jc w:val="center"/>
              <w:rPr>
                <w:b/>
                <w:sz w:val="24"/>
              </w:rPr>
            </w:pPr>
            <w:r>
              <w:rPr>
                <w:rFonts w:hint="eastAsia"/>
                <w:b/>
                <w:sz w:val="24"/>
              </w:rPr>
              <w:t>国乐与管弦方向</w:t>
            </w:r>
          </w:p>
        </w:tc>
        <w:tc>
          <w:tcPr>
            <w:tcW w:w="5817" w:type="dxa"/>
            <w:tcBorders>
              <w:top w:val="single" w:color="auto" w:sz="4" w:space="0"/>
              <w:left w:val="single" w:color="auto" w:sz="4" w:space="0"/>
              <w:bottom w:val="single" w:color="auto" w:sz="4" w:space="0"/>
              <w:right w:val="single" w:color="auto" w:sz="4" w:space="0"/>
            </w:tcBorders>
          </w:tcPr>
          <w:p>
            <w:pPr>
              <w:jc w:val="center"/>
              <w:rPr>
                <w:b/>
                <w:sz w:val="24"/>
              </w:rPr>
            </w:pPr>
            <w:r>
              <w:rPr>
                <w:rFonts w:hint="eastAsia"/>
                <w:b/>
                <w:sz w:val="24"/>
              </w:rPr>
              <w:t>演奏乐曲一首、练习曲一首、视奏、演唱、视唱练耳（100%）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680" w:type="dxa"/>
            <w:tcBorders>
              <w:left w:val="single" w:color="auto" w:sz="4" w:space="0"/>
              <w:right w:val="single" w:color="auto" w:sz="4" w:space="0"/>
            </w:tcBorders>
            <w:vAlign w:val="center"/>
          </w:tcPr>
          <w:p>
            <w:pPr>
              <w:ind w:left="118" w:hanging="118" w:hangingChars="49"/>
              <w:jc w:val="center"/>
            </w:pPr>
            <w:r>
              <w:rPr>
                <w:rFonts w:hint="eastAsia"/>
                <w:b/>
                <w:sz w:val="24"/>
              </w:rPr>
              <w:t>舞蹈表演</w:t>
            </w:r>
          </w:p>
        </w:tc>
        <w:tc>
          <w:tcPr>
            <w:tcW w:w="2560" w:type="dxa"/>
            <w:tcBorders>
              <w:top w:val="single" w:color="auto" w:sz="4" w:space="0"/>
              <w:left w:val="single" w:color="auto" w:sz="4" w:space="0"/>
              <w:right w:val="single" w:color="auto" w:sz="4" w:space="0"/>
            </w:tcBorders>
          </w:tcPr>
          <w:p>
            <w:pPr>
              <w:jc w:val="center"/>
              <w:rPr>
                <w:b/>
                <w:sz w:val="24"/>
              </w:rPr>
            </w:pPr>
          </w:p>
        </w:tc>
        <w:tc>
          <w:tcPr>
            <w:tcW w:w="5817" w:type="dxa"/>
            <w:tcBorders>
              <w:top w:val="single" w:color="auto" w:sz="4" w:space="0"/>
              <w:left w:val="single" w:color="auto" w:sz="4" w:space="0"/>
              <w:right w:val="single" w:color="auto" w:sz="4" w:space="0"/>
            </w:tcBorders>
          </w:tcPr>
          <w:p>
            <w:pPr>
              <w:jc w:val="center"/>
              <w:rPr>
                <w:b/>
                <w:sz w:val="24"/>
              </w:rPr>
            </w:pPr>
            <w:r>
              <w:rPr>
                <w:rFonts w:hint="eastAsia"/>
                <w:b/>
                <w:sz w:val="24"/>
              </w:rPr>
              <w:t>形象、基训技巧、模仿、剧目（100%）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680" w:type="dxa"/>
            <w:tcBorders>
              <w:left w:val="single" w:color="auto" w:sz="4" w:space="0"/>
              <w:right w:val="single" w:color="auto" w:sz="4" w:space="0"/>
            </w:tcBorders>
            <w:vAlign w:val="center"/>
          </w:tcPr>
          <w:p>
            <w:pPr>
              <w:ind w:left="118" w:hanging="118" w:hangingChars="49"/>
              <w:jc w:val="center"/>
              <w:rPr>
                <w:b/>
                <w:sz w:val="24"/>
              </w:rPr>
            </w:pPr>
            <w:r>
              <w:rPr>
                <w:rFonts w:hint="eastAsia"/>
                <w:b/>
                <w:sz w:val="24"/>
              </w:rPr>
              <w:t>国际标准舞</w:t>
            </w:r>
          </w:p>
        </w:tc>
        <w:tc>
          <w:tcPr>
            <w:tcW w:w="2560" w:type="dxa"/>
            <w:tcBorders>
              <w:top w:val="single" w:color="auto" w:sz="4" w:space="0"/>
              <w:left w:val="single" w:color="auto" w:sz="4" w:space="0"/>
              <w:right w:val="single" w:color="auto" w:sz="4" w:space="0"/>
            </w:tcBorders>
          </w:tcPr>
          <w:p>
            <w:pPr>
              <w:jc w:val="center"/>
              <w:rPr>
                <w:b/>
                <w:sz w:val="24"/>
              </w:rPr>
            </w:pPr>
          </w:p>
        </w:tc>
        <w:tc>
          <w:tcPr>
            <w:tcW w:w="5817" w:type="dxa"/>
            <w:tcBorders>
              <w:top w:val="single" w:color="auto" w:sz="4" w:space="0"/>
              <w:left w:val="single" w:color="auto" w:sz="4" w:space="0"/>
              <w:right w:val="single" w:color="auto" w:sz="4" w:space="0"/>
            </w:tcBorders>
          </w:tcPr>
          <w:p>
            <w:pPr>
              <w:jc w:val="center"/>
              <w:rPr>
                <w:b/>
                <w:sz w:val="24"/>
              </w:rPr>
            </w:pPr>
            <w:r>
              <w:rPr>
                <w:rFonts w:hint="eastAsia"/>
                <w:b/>
                <w:sz w:val="24"/>
              </w:rPr>
              <w:t>形象、基训技巧、模仿、剧目（100%）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680" w:type="dxa"/>
            <w:vMerge w:val="restart"/>
            <w:tcBorders>
              <w:top w:val="single" w:color="auto" w:sz="4" w:space="0"/>
              <w:left w:val="single" w:color="auto" w:sz="4" w:space="0"/>
              <w:right w:val="single" w:color="auto" w:sz="4" w:space="0"/>
            </w:tcBorders>
            <w:vAlign w:val="center"/>
          </w:tcPr>
          <w:p>
            <w:pPr>
              <w:widowControl/>
              <w:jc w:val="center"/>
              <w:rPr>
                <w:b/>
                <w:sz w:val="24"/>
              </w:rPr>
            </w:pPr>
            <w:r>
              <w:rPr>
                <w:rFonts w:hint="eastAsia"/>
                <w:b/>
                <w:sz w:val="24"/>
              </w:rPr>
              <w:t>环境艺术设计</w:t>
            </w:r>
          </w:p>
        </w:tc>
        <w:tc>
          <w:tcPr>
            <w:tcW w:w="2560" w:type="dxa"/>
            <w:tcBorders>
              <w:top w:val="single" w:color="auto" w:sz="4" w:space="0"/>
              <w:left w:val="single" w:color="auto" w:sz="4" w:space="0"/>
              <w:bottom w:val="single" w:color="auto" w:sz="4" w:space="0"/>
              <w:right w:val="single" w:color="auto" w:sz="4" w:space="0"/>
            </w:tcBorders>
          </w:tcPr>
          <w:p>
            <w:pPr>
              <w:ind w:left="361" w:hanging="361" w:hangingChars="150"/>
              <w:jc w:val="center"/>
              <w:rPr>
                <w:b/>
                <w:sz w:val="24"/>
              </w:rPr>
            </w:pPr>
            <w:r>
              <w:rPr>
                <w:rFonts w:hint="eastAsia"/>
                <w:b/>
                <w:sz w:val="24"/>
              </w:rPr>
              <w:t>景观方向</w:t>
            </w:r>
          </w:p>
        </w:tc>
        <w:tc>
          <w:tcPr>
            <w:tcW w:w="5817" w:type="dxa"/>
            <w:tcBorders>
              <w:top w:val="single" w:color="auto" w:sz="4" w:space="0"/>
              <w:left w:val="single" w:color="auto" w:sz="4" w:space="0"/>
              <w:bottom w:val="single" w:color="auto" w:sz="4" w:space="0"/>
              <w:right w:val="single" w:color="auto" w:sz="4" w:space="0"/>
            </w:tcBorders>
          </w:tcPr>
          <w:p>
            <w:pPr>
              <w:jc w:val="center"/>
              <w:rPr>
                <w:b/>
                <w:sz w:val="24"/>
              </w:rPr>
            </w:pPr>
            <w:r>
              <w:rPr>
                <w:rFonts w:hint="eastAsia" w:ascii="宋体" w:hAnsi="宋体" w:cs="宋体"/>
                <w:b/>
                <w:bCs/>
                <w:sz w:val="24"/>
              </w:rPr>
              <w:t>综合素质测评</w:t>
            </w:r>
            <w:r>
              <w:rPr>
                <w:rFonts w:hint="eastAsia" w:ascii="宋体" w:hAnsi="宋体" w:cs="宋体"/>
                <w:b/>
                <w:kern w:val="0"/>
                <w:sz w:val="24"/>
              </w:rPr>
              <w:t>（20</w:t>
            </w:r>
            <w:r>
              <w:rPr>
                <w:rFonts w:hint="eastAsia"/>
                <w:b/>
                <w:sz w:val="24"/>
              </w:rPr>
              <w:t>%</w:t>
            </w:r>
            <w:r>
              <w:rPr>
                <w:rFonts w:hint="eastAsia" w:ascii="宋体" w:hAnsi="宋体" w:cs="宋体"/>
                <w:b/>
                <w:kern w:val="0"/>
                <w:sz w:val="24"/>
              </w:rPr>
              <w:t>）</w:t>
            </w:r>
            <w:r>
              <w:rPr>
                <w:rFonts w:hint="eastAsia"/>
                <w:b/>
                <w:sz w:val="24"/>
              </w:rPr>
              <w:t>、素描（</w:t>
            </w:r>
            <w:r>
              <w:rPr>
                <w:b/>
                <w:sz w:val="24"/>
              </w:rPr>
              <w:t>80</w:t>
            </w:r>
            <w:r>
              <w:rPr>
                <w:rFonts w:hint="eastAsia"/>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80" w:type="dxa"/>
            <w:vMerge w:val="continue"/>
            <w:tcBorders>
              <w:left w:val="single" w:color="auto" w:sz="4" w:space="0"/>
              <w:bottom w:val="single" w:color="auto" w:sz="4" w:space="0"/>
              <w:right w:val="single" w:color="auto" w:sz="4" w:space="0"/>
            </w:tcBorders>
            <w:vAlign w:val="center"/>
          </w:tcPr>
          <w:p>
            <w:pPr>
              <w:widowControl/>
              <w:ind w:firstLine="1205" w:firstLineChars="500"/>
              <w:jc w:val="center"/>
              <w:rPr>
                <w:b/>
                <w:sz w:val="24"/>
              </w:rPr>
            </w:pPr>
          </w:p>
        </w:tc>
        <w:tc>
          <w:tcPr>
            <w:tcW w:w="2560" w:type="dxa"/>
            <w:tcBorders>
              <w:top w:val="single" w:color="auto" w:sz="4" w:space="0"/>
              <w:left w:val="single" w:color="auto" w:sz="4" w:space="0"/>
              <w:bottom w:val="single" w:color="auto" w:sz="4" w:space="0"/>
              <w:right w:val="single" w:color="auto" w:sz="4" w:space="0"/>
            </w:tcBorders>
          </w:tcPr>
          <w:p>
            <w:pPr>
              <w:jc w:val="center"/>
              <w:rPr>
                <w:b/>
                <w:sz w:val="24"/>
              </w:rPr>
            </w:pPr>
            <w:r>
              <w:rPr>
                <w:rFonts w:hint="eastAsia"/>
                <w:b/>
                <w:sz w:val="24"/>
              </w:rPr>
              <w:t>室内方向</w:t>
            </w:r>
          </w:p>
        </w:tc>
        <w:tc>
          <w:tcPr>
            <w:tcW w:w="5817" w:type="dxa"/>
            <w:tcBorders>
              <w:top w:val="single" w:color="auto" w:sz="4" w:space="0"/>
              <w:left w:val="single" w:color="auto" w:sz="4" w:space="0"/>
              <w:bottom w:val="single" w:color="auto" w:sz="4" w:space="0"/>
              <w:right w:val="single" w:color="auto" w:sz="4" w:space="0"/>
            </w:tcBorders>
          </w:tcPr>
          <w:p>
            <w:pPr>
              <w:jc w:val="center"/>
              <w:rPr>
                <w:b/>
                <w:sz w:val="24"/>
              </w:rPr>
            </w:pPr>
            <w:r>
              <w:rPr>
                <w:rFonts w:hint="eastAsia" w:ascii="宋体" w:hAnsi="宋体" w:cs="宋体"/>
                <w:b/>
                <w:bCs/>
                <w:sz w:val="24"/>
              </w:rPr>
              <w:t>综合素质测评</w:t>
            </w:r>
            <w:r>
              <w:rPr>
                <w:rFonts w:hint="eastAsia" w:ascii="宋体" w:hAnsi="宋体" w:cs="宋体"/>
                <w:b/>
                <w:kern w:val="0"/>
                <w:sz w:val="24"/>
              </w:rPr>
              <w:t>（20</w:t>
            </w:r>
            <w:r>
              <w:rPr>
                <w:rFonts w:hint="eastAsia"/>
                <w:b/>
                <w:sz w:val="24"/>
              </w:rPr>
              <w:t>%</w:t>
            </w:r>
            <w:r>
              <w:rPr>
                <w:rFonts w:hint="eastAsia" w:ascii="宋体" w:hAnsi="宋体" w:cs="宋体"/>
                <w:b/>
                <w:kern w:val="0"/>
                <w:sz w:val="24"/>
              </w:rPr>
              <w:t>）</w:t>
            </w:r>
            <w:r>
              <w:rPr>
                <w:rFonts w:hint="eastAsia"/>
                <w:b/>
                <w:sz w:val="24"/>
              </w:rPr>
              <w:t>、素描（</w:t>
            </w:r>
            <w:r>
              <w:rPr>
                <w:b/>
                <w:sz w:val="24"/>
              </w:rPr>
              <w:t>80</w:t>
            </w:r>
            <w:r>
              <w:rPr>
                <w:rFonts w:hint="eastAsia"/>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2680" w:type="dxa"/>
            <w:tcBorders>
              <w:top w:val="single" w:color="auto" w:sz="4" w:space="0"/>
              <w:left w:val="single" w:color="auto" w:sz="4" w:space="0"/>
              <w:right w:val="single" w:color="auto" w:sz="4" w:space="0"/>
            </w:tcBorders>
            <w:vAlign w:val="center"/>
          </w:tcPr>
          <w:p>
            <w:pPr>
              <w:widowControl/>
              <w:jc w:val="center"/>
              <w:rPr>
                <w:b/>
                <w:sz w:val="24"/>
              </w:rPr>
            </w:pPr>
            <w:r>
              <w:rPr>
                <w:rFonts w:hint="eastAsia"/>
                <w:b/>
                <w:sz w:val="24"/>
              </w:rPr>
              <w:t>人物形象设计</w:t>
            </w:r>
          </w:p>
        </w:tc>
        <w:tc>
          <w:tcPr>
            <w:tcW w:w="2560" w:type="dxa"/>
            <w:tcBorders>
              <w:top w:val="single" w:color="auto" w:sz="4" w:space="0"/>
              <w:left w:val="single" w:color="auto" w:sz="4" w:space="0"/>
              <w:right w:val="single" w:color="auto" w:sz="4" w:space="0"/>
            </w:tcBorders>
          </w:tcPr>
          <w:p>
            <w:pPr>
              <w:ind w:left="361" w:hanging="361" w:hangingChars="150"/>
              <w:jc w:val="center"/>
              <w:rPr>
                <w:b/>
                <w:sz w:val="24"/>
              </w:rPr>
            </w:pPr>
          </w:p>
        </w:tc>
        <w:tc>
          <w:tcPr>
            <w:tcW w:w="5817" w:type="dxa"/>
            <w:tcBorders>
              <w:top w:val="single" w:color="auto" w:sz="4" w:space="0"/>
              <w:left w:val="single" w:color="auto" w:sz="4" w:space="0"/>
              <w:right w:val="single" w:color="auto" w:sz="4" w:space="0"/>
            </w:tcBorders>
          </w:tcPr>
          <w:p>
            <w:pPr>
              <w:jc w:val="center"/>
              <w:rPr>
                <w:b/>
                <w:sz w:val="24"/>
              </w:rPr>
            </w:pPr>
            <w:r>
              <w:rPr>
                <w:rFonts w:hint="eastAsia" w:ascii="宋体" w:hAnsi="宋体" w:cs="宋体"/>
                <w:b/>
                <w:bCs/>
                <w:sz w:val="24"/>
              </w:rPr>
              <w:t>综合素质测评</w:t>
            </w:r>
            <w:r>
              <w:rPr>
                <w:rFonts w:hint="eastAsia" w:ascii="宋体" w:hAnsi="宋体" w:cs="宋体"/>
                <w:b/>
                <w:kern w:val="0"/>
                <w:sz w:val="24"/>
              </w:rPr>
              <w:t>（20</w:t>
            </w:r>
            <w:r>
              <w:rPr>
                <w:rFonts w:hint="eastAsia"/>
                <w:b/>
                <w:sz w:val="24"/>
              </w:rPr>
              <w:t>%</w:t>
            </w:r>
            <w:r>
              <w:rPr>
                <w:rFonts w:hint="eastAsia" w:ascii="宋体" w:hAnsi="宋体" w:cs="宋体"/>
                <w:b/>
                <w:kern w:val="0"/>
                <w:sz w:val="24"/>
              </w:rPr>
              <w:t>）</w:t>
            </w:r>
            <w:r>
              <w:rPr>
                <w:rFonts w:hint="eastAsia"/>
                <w:b/>
                <w:sz w:val="24"/>
              </w:rPr>
              <w:t>、素描、服装设计（二选一）（</w:t>
            </w:r>
            <w:r>
              <w:rPr>
                <w:b/>
                <w:sz w:val="24"/>
              </w:rPr>
              <w:t>80</w:t>
            </w:r>
            <w:r>
              <w:rPr>
                <w:rFonts w:hint="eastAsia"/>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2680" w:type="dxa"/>
            <w:tcBorders>
              <w:left w:val="single" w:color="auto" w:sz="4" w:space="0"/>
              <w:bottom w:val="single" w:color="auto" w:sz="4" w:space="0"/>
              <w:right w:val="single" w:color="auto" w:sz="4" w:space="0"/>
            </w:tcBorders>
            <w:vAlign w:val="center"/>
          </w:tcPr>
          <w:p>
            <w:pPr>
              <w:widowControl/>
              <w:jc w:val="center"/>
              <w:rPr>
                <w:b/>
                <w:sz w:val="24"/>
              </w:rPr>
            </w:pPr>
            <w:r>
              <w:rPr>
                <w:rFonts w:hint="eastAsia"/>
                <w:b/>
                <w:sz w:val="24"/>
              </w:rPr>
              <w:t>广告艺术设计</w:t>
            </w:r>
          </w:p>
        </w:tc>
        <w:tc>
          <w:tcPr>
            <w:tcW w:w="2560" w:type="dxa"/>
            <w:tcBorders>
              <w:top w:val="single" w:color="auto" w:sz="4" w:space="0"/>
              <w:left w:val="single" w:color="auto" w:sz="4" w:space="0"/>
              <w:bottom w:val="single" w:color="auto" w:sz="4" w:space="0"/>
              <w:right w:val="single" w:color="auto" w:sz="4" w:space="0"/>
            </w:tcBorders>
          </w:tcPr>
          <w:p>
            <w:pPr>
              <w:ind w:left="361" w:hanging="361" w:hangingChars="150"/>
              <w:jc w:val="center"/>
              <w:rPr>
                <w:b/>
                <w:sz w:val="24"/>
              </w:rPr>
            </w:pPr>
          </w:p>
        </w:tc>
        <w:tc>
          <w:tcPr>
            <w:tcW w:w="581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kern w:val="0"/>
                <w:sz w:val="24"/>
              </w:rPr>
            </w:pPr>
            <w:r>
              <w:rPr>
                <w:rFonts w:hint="eastAsia" w:ascii="宋体" w:hAnsi="宋体" w:cs="宋体"/>
                <w:b/>
                <w:bCs/>
                <w:sz w:val="24"/>
              </w:rPr>
              <w:t>综合素质测评</w:t>
            </w:r>
            <w:r>
              <w:rPr>
                <w:rFonts w:hint="eastAsia" w:ascii="宋体" w:hAnsi="宋体" w:cs="宋体"/>
                <w:b/>
                <w:kern w:val="0"/>
                <w:sz w:val="24"/>
              </w:rPr>
              <w:t>（20</w:t>
            </w:r>
            <w:r>
              <w:rPr>
                <w:rFonts w:hint="eastAsia"/>
                <w:b/>
                <w:sz w:val="24"/>
              </w:rPr>
              <w:t>%</w:t>
            </w:r>
            <w:r>
              <w:rPr>
                <w:rFonts w:hint="eastAsia" w:ascii="宋体" w:hAnsi="宋体" w:cs="宋体"/>
                <w:b/>
                <w:kern w:val="0"/>
                <w:sz w:val="24"/>
              </w:rPr>
              <w:t>）</w:t>
            </w:r>
            <w:r>
              <w:rPr>
                <w:rFonts w:hint="eastAsia"/>
                <w:b/>
                <w:sz w:val="24"/>
              </w:rPr>
              <w:t>、素描（</w:t>
            </w:r>
            <w:r>
              <w:rPr>
                <w:b/>
                <w:sz w:val="24"/>
              </w:rPr>
              <w:t>80</w:t>
            </w:r>
            <w:r>
              <w:rPr>
                <w:rFonts w:hint="eastAsia"/>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680" w:type="dxa"/>
            <w:tcBorders>
              <w:top w:val="single" w:color="auto" w:sz="4" w:space="0"/>
              <w:left w:val="single" w:color="auto" w:sz="4" w:space="0"/>
              <w:bottom w:val="single" w:color="auto" w:sz="4" w:space="0"/>
              <w:right w:val="single" w:color="auto" w:sz="4" w:space="0"/>
            </w:tcBorders>
            <w:vAlign w:val="center"/>
          </w:tcPr>
          <w:p>
            <w:pPr>
              <w:widowControl/>
              <w:jc w:val="center"/>
              <w:rPr>
                <w:b/>
                <w:sz w:val="24"/>
              </w:rPr>
            </w:pPr>
            <w:r>
              <w:rPr>
                <w:rFonts w:hint="eastAsia"/>
                <w:b/>
                <w:sz w:val="24"/>
              </w:rPr>
              <w:t>舞台艺术设计与制作</w:t>
            </w:r>
          </w:p>
        </w:tc>
        <w:tc>
          <w:tcPr>
            <w:tcW w:w="2560" w:type="dxa"/>
            <w:tcBorders>
              <w:top w:val="single" w:color="auto" w:sz="4" w:space="0"/>
              <w:left w:val="single" w:color="auto" w:sz="4" w:space="0"/>
              <w:bottom w:val="single" w:color="auto" w:sz="4" w:space="0"/>
              <w:right w:val="single" w:color="auto" w:sz="4" w:space="0"/>
            </w:tcBorders>
          </w:tcPr>
          <w:p>
            <w:pPr>
              <w:ind w:left="361" w:hanging="361" w:hangingChars="150"/>
              <w:jc w:val="center"/>
              <w:rPr>
                <w:b/>
                <w:sz w:val="24"/>
              </w:rPr>
            </w:pPr>
          </w:p>
        </w:tc>
        <w:tc>
          <w:tcPr>
            <w:tcW w:w="5817" w:type="dxa"/>
            <w:tcBorders>
              <w:top w:val="single" w:color="auto" w:sz="4" w:space="0"/>
              <w:left w:val="single" w:color="auto" w:sz="4" w:space="0"/>
              <w:bottom w:val="single" w:color="auto" w:sz="4" w:space="0"/>
              <w:right w:val="single" w:color="auto" w:sz="4" w:space="0"/>
            </w:tcBorders>
          </w:tcPr>
          <w:p>
            <w:pPr>
              <w:widowControl/>
              <w:jc w:val="center"/>
              <w:rPr>
                <w:b/>
                <w:sz w:val="24"/>
              </w:rPr>
            </w:pPr>
            <w:r>
              <w:rPr>
                <w:rFonts w:hint="eastAsia" w:ascii="宋体" w:hAnsi="宋体" w:cs="宋体"/>
                <w:b/>
                <w:bCs/>
                <w:sz w:val="24"/>
              </w:rPr>
              <w:t>综合素质测评</w:t>
            </w:r>
            <w:r>
              <w:rPr>
                <w:rFonts w:hint="eastAsia" w:ascii="宋体" w:hAnsi="宋体" w:cs="宋体"/>
                <w:b/>
                <w:kern w:val="0"/>
                <w:sz w:val="24"/>
              </w:rPr>
              <w:t>（20</w:t>
            </w:r>
            <w:r>
              <w:rPr>
                <w:rFonts w:hint="eastAsia"/>
                <w:b/>
                <w:sz w:val="24"/>
              </w:rPr>
              <w:t>%</w:t>
            </w:r>
            <w:r>
              <w:rPr>
                <w:rFonts w:hint="eastAsia" w:ascii="宋体" w:hAnsi="宋体" w:cs="宋体"/>
                <w:b/>
                <w:kern w:val="0"/>
                <w:sz w:val="24"/>
              </w:rPr>
              <w:t>）</w:t>
            </w:r>
            <w:r>
              <w:rPr>
                <w:rFonts w:hint="eastAsia"/>
                <w:b/>
                <w:sz w:val="24"/>
              </w:rPr>
              <w:t>、素描（</w:t>
            </w:r>
            <w:r>
              <w:rPr>
                <w:b/>
                <w:sz w:val="24"/>
              </w:rPr>
              <w:t>80</w:t>
            </w:r>
            <w:r>
              <w:rPr>
                <w:rFonts w:hint="eastAsia"/>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680" w:type="dxa"/>
            <w:tcBorders>
              <w:top w:val="single" w:color="auto" w:sz="4" w:space="0"/>
              <w:left w:val="single" w:color="auto" w:sz="4" w:space="0"/>
              <w:bottom w:val="single" w:color="auto" w:sz="4" w:space="0"/>
              <w:right w:val="single" w:color="auto" w:sz="4" w:space="0"/>
            </w:tcBorders>
            <w:vAlign w:val="center"/>
          </w:tcPr>
          <w:p>
            <w:pPr>
              <w:widowControl/>
              <w:jc w:val="center"/>
              <w:rPr>
                <w:b/>
                <w:sz w:val="24"/>
              </w:rPr>
            </w:pPr>
            <w:r>
              <w:rPr>
                <w:rFonts w:hint="eastAsia"/>
                <w:b/>
                <w:sz w:val="24"/>
              </w:rPr>
              <w:t>影视照明技术与艺术</w:t>
            </w:r>
          </w:p>
        </w:tc>
        <w:tc>
          <w:tcPr>
            <w:tcW w:w="2560" w:type="dxa"/>
            <w:tcBorders>
              <w:top w:val="single" w:color="auto" w:sz="4" w:space="0"/>
              <w:left w:val="single" w:color="auto" w:sz="4" w:space="0"/>
              <w:bottom w:val="single" w:color="auto" w:sz="4" w:space="0"/>
              <w:right w:val="single" w:color="auto" w:sz="4" w:space="0"/>
            </w:tcBorders>
          </w:tcPr>
          <w:p>
            <w:pPr>
              <w:ind w:left="361" w:hanging="361" w:hangingChars="150"/>
              <w:jc w:val="center"/>
              <w:rPr>
                <w:b/>
                <w:sz w:val="24"/>
              </w:rPr>
            </w:pPr>
          </w:p>
        </w:tc>
        <w:tc>
          <w:tcPr>
            <w:tcW w:w="5817" w:type="dxa"/>
            <w:tcBorders>
              <w:top w:val="single" w:color="auto" w:sz="4" w:space="0"/>
              <w:left w:val="single" w:color="auto" w:sz="4" w:space="0"/>
              <w:bottom w:val="single" w:color="auto" w:sz="4" w:space="0"/>
              <w:right w:val="single" w:color="auto" w:sz="4" w:space="0"/>
            </w:tcBorders>
          </w:tcPr>
          <w:p>
            <w:pPr>
              <w:widowControl/>
              <w:jc w:val="center"/>
              <w:rPr>
                <w:b/>
                <w:sz w:val="24"/>
              </w:rPr>
            </w:pPr>
            <w:r>
              <w:rPr>
                <w:rFonts w:hint="eastAsia" w:ascii="宋体" w:hAnsi="宋体" w:cs="宋体"/>
                <w:b/>
                <w:bCs/>
                <w:sz w:val="24"/>
              </w:rPr>
              <w:t>综合素质测评</w:t>
            </w:r>
            <w:r>
              <w:rPr>
                <w:rFonts w:hint="eastAsia" w:ascii="宋体" w:hAnsi="宋体" w:cs="宋体"/>
                <w:b/>
                <w:kern w:val="0"/>
                <w:sz w:val="24"/>
              </w:rPr>
              <w:t>（20</w:t>
            </w:r>
            <w:r>
              <w:rPr>
                <w:rFonts w:hint="eastAsia"/>
                <w:b/>
                <w:sz w:val="24"/>
              </w:rPr>
              <w:t>%</w:t>
            </w:r>
            <w:r>
              <w:rPr>
                <w:rFonts w:hint="eastAsia" w:ascii="宋体" w:hAnsi="宋体" w:cs="宋体"/>
                <w:b/>
                <w:kern w:val="0"/>
                <w:sz w:val="24"/>
              </w:rPr>
              <w:t>）</w:t>
            </w:r>
            <w:r>
              <w:rPr>
                <w:rFonts w:hint="eastAsia"/>
                <w:b/>
                <w:sz w:val="24"/>
              </w:rPr>
              <w:t>、素描</w:t>
            </w:r>
            <w:r>
              <w:rPr>
                <w:rFonts w:hint="eastAsia"/>
                <w:b/>
                <w:color w:val="000000" w:themeColor="text1"/>
                <w:sz w:val="24"/>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680" w:type="dxa"/>
            <w:tcBorders>
              <w:top w:val="single" w:color="auto" w:sz="4" w:space="0"/>
              <w:left w:val="single" w:color="auto" w:sz="4" w:space="0"/>
              <w:right w:val="single" w:color="auto" w:sz="4" w:space="0"/>
            </w:tcBorders>
            <w:vAlign w:val="center"/>
          </w:tcPr>
          <w:p>
            <w:pPr>
              <w:widowControl/>
              <w:ind w:firstLine="723" w:firstLineChars="300"/>
              <w:rPr>
                <w:b/>
                <w:sz w:val="24"/>
              </w:rPr>
            </w:pPr>
            <w:r>
              <w:rPr>
                <w:rFonts w:hint="eastAsia"/>
                <w:b/>
                <w:sz w:val="24"/>
              </w:rPr>
              <w:t>影视编导</w:t>
            </w:r>
          </w:p>
        </w:tc>
        <w:tc>
          <w:tcPr>
            <w:tcW w:w="2560" w:type="dxa"/>
            <w:tcBorders>
              <w:top w:val="single" w:color="auto" w:sz="4" w:space="0"/>
              <w:left w:val="single" w:color="auto" w:sz="4" w:space="0"/>
              <w:right w:val="single" w:color="auto" w:sz="4" w:space="0"/>
            </w:tcBorders>
          </w:tcPr>
          <w:p>
            <w:pPr>
              <w:jc w:val="center"/>
              <w:rPr>
                <w:b/>
                <w:sz w:val="24"/>
              </w:rPr>
            </w:pPr>
          </w:p>
        </w:tc>
        <w:tc>
          <w:tcPr>
            <w:tcW w:w="5817" w:type="dxa"/>
            <w:tcBorders>
              <w:top w:val="single" w:color="auto" w:sz="4" w:space="0"/>
              <w:left w:val="single" w:color="auto" w:sz="4" w:space="0"/>
              <w:right w:val="single" w:color="auto" w:sz="4" w:space="0"/>
            </w:tcBorders>
          </w:tcPr>
          <w:p>
            <w:pPr>
              <w:widowControl/>
              <w:jc w:val="center"/>
              <w:rPr>
                <w:rFonts w:ascii="宋体" w:hAnsi="宋体" w:cs="宋体"/>
                <w:b/>
                <w:kern w:val="0"/>
                <w:sz w:val="24"/>
              </w:rPr>
            </w:pPr>
            <w:r>
              <w:rPr>
                <w:rFonts w:hint="eastAsia" w:ascii="宋体" w:hAnsi="宋体" w:cs="宋体"/>
                <w:b/>
                <w:bCs/>
                <w:sz w:val="24"/>
              </w:rPr>
              <w:t>综合素质测评</w:t>
            </w:r>
            <w:r>
              <w:rPr>
                <w:rFonts w:hint="eastAsia" w:ascii="宋体" w:hAnsi="宋体" w:cs="宋体"/>
                <w:b/>
                <w:kern w:val="0"/>
                <w:sz w:val="24"/>
              </w:rPr>
              <w:t>（20</w:t>
            </w:r>
            <w:r>
              <w:rPr>
                <w:rFonts w:hint="eastAsia"/>
                <w:b/>
                <w:sz w:val="24"/>
              </w:rPr>
              <w:t>%</w:t>
            </w:r>
            <w:r>
              <w:rPr>
                <w:rFonts w:hint="eastAsia" w:ascii="宋体" w:hAnsi="宋体" w:cs="宋体"/>
                <w:b/>
                <w:kern w:val="0"/>
                <w:sz w:val="24"/>
              </w:rPr>
              <w:t>）</w:t>
            </w:r>
            <w:r>
              <w:rPr>
                <w:rFonts w:hint="eastAsia"/>
                <w:b/>
                <w:sz w:val="24"/>
              </w:rPr>
              <w:t>、作品分析（80%）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680" w:type="dxa"/>
            <w:tcBorders>
              <w:top w:val="single" w:color="auto" w:sz="4" w:space="0"/>
              <w:left w:val="single" w:color="auto" w:sz="4" w:space="0"/>
              <w:right w:val="single" w:color="auto" w:sz="4" w:space="0"/>
            </w:tcBorders>
            <w:vAlign w:val="center"/>
          </w:tcPr>
          <w:p>
            <w:pPr>
              <w:widowControl/>
              <w:jc w:val="center"/>
              <w:rPr>
                <w:b/>
                <w:sz w:val="24"/>
              </w:rPr>
            </w:pPr>
            <w:r>
              <w:rPr>
                <w:rFonts w:hint="eastAsia"/>
                <w:b/>
                <w:sz w:val="24"/>
              </w:rPr>
              <w:t>影视多媒体技术</w:t>
            </w:r>
          </w:p>
        </w:tc>
        <w:tc>
          <w:tcPr>
            <w:tcW w:w="2560" w:type="dxa"/>
            <w:tcBorders>
              <w:top w:val="single" w:color="auto" w:sz="4" w:space="0"/>
              <w:left w:val="single" w:color="auto" w:sz="4" w:space="0"/>
              <w:right w:val="single" w:color="auto" w:sz="4" w:space="0"/>
            </w:tcBorders>
          </w:tcPr>
          <w:p>
            <w:pPr>
              <w:ind w:left="361" w:hanging="361" w:hangingChars="150"/>
              <w:jc w:val="center"/>
              <w:rPr>
                <w:b/>
                <w:sz w:val="24"/>
              </w:rPr>
            </w:pPr>
          </w:p>
        </w:tc>
        <w:tc>
          <w:tcPr>
            <w:tcW w:w="5817" w:type="dxa"/>
            <w:tcBorders>
              <w:top w:val="single" w:color="auto" w:sz="4" w:space="0"/>
              <w:left w:val="single" w:color="auto" w:sz="4" w:space="0"/>
              <w:right w:val="single" w:color="auto" w:sz="4" w:space="0"/>
            </w:tcBorders>
          </w:tcPr>
          <w:p>
            <w:pPr>
              <w:widowControl/>
              <w:jc w:val="center"/>
              <w:rPr>
                <w:b/>
                <w:sz w:val="24"/>
              </w:rPr>
            </w:pPr>
            <w:r>
              <w:rPr>
                <w:rFonts w:hint="eastAsia" w:ascii="宋体" w:hAnsi="宋体" w:cs="宋体"/>
                <w:b/>
                <w:bCs/>
                <w:sz w:val="24"/>
              </w:rPr>
              <w:t>综合素质测评</w:t>
            </w:r>
            <w:r>
              <w:rPr>
                <w:rFonts w:hint="eastAsia" w:ascii="宋体" w:hAnsi="宋体" w:cs="宋体"/>
                <w:b/>
                <w:kern w:val="0"/>
                <w:sz w:val="24"/>
              </w:rPr>
              <w:t>（20</w:t>
            </w:r>
            <w:r>
              <w:rPr>
                <w:rFonts w:hint="eastAsia"/>
                <w:b/>
                <w:sz w:val="24"/>
              </w:rPr>
              <w:t>%</w:t>
            </w:r>
            <w:r>
              <w:rPr>
                <w:rFonts w:hint="eastAsia" w:ascii="宋体" w:hAnsi="宋体" w:cs="宋体"/>
                <w:b/>
                <w:kern w:val="0"/>
                <w:sz w:val="24"/>
              </w:rPr>
              <w:t>）</w:t>
            </w:r>
            <w:r>
              <w:rPr>
                <w:rFonts w:hint="eastAsia"/>
                <w:b/>
                <w:sz w:val="24"/>
              </w:rPr>
              <w:t>、作品分析（80%）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680" w:type="dxa"/>
            <w:tcBorders>
              <w:top w:val="single" w:color="auto" w:sz="4" w:space="0"/>
              <w:left w:val="single" w:color="auto" w:sz="4" w:space="0"/>
              <w:right w:val="single" w:color="auto" w:sz="4" w:space="0"/>
            </w:tcBorders>
            <w:vAlign w:val="center"/>
          </w:tcPr>
          <w:p>
            <w:pPr>
              <w:widowControl/>
              <w:jc w:val="center"/>
              <w:rPr>
                <w:b/>
                <w:sz w:val="24"/>
              </w:rPr>
            </w:pPr>
            <w:r>
              <w:rPr>
                <w:rFonts w:hint="eastAsia"/>
                <w:b/>
                <w:sz w:val="24"/>
              </w:rPr>
              <w:t>摄影摄像技术</w:t>
            </w:r>
          </w:p>
        </w:tc>
        <w:tc>
          <w:tcPr>
            <w:tcW w:w="2560" w:type="dxa"/>
            <w:tcBorders>
              <w:top w:val="single" w:color="auto" w:sz="4" w:space="0"/>
              <w:left w:val="single" w:color="auto" w:sz="4" w:space="0"/>
              <w:right w:val="single" w:color="auto" w:sz="4" w:space="0"/>
            </w:tcBorders>
          </w:tcPr>
          <w:p>
            <w:pPr>
              <w:jc w:val="center"/>
              <w:rPr>
                <w:b/>
                <w:sz w:val="24"/>
              </w:rPr>
            </w:pPr>
          </w:p>
        </w:tc>
        <w:tc>
          <w:tcPr>
            <w:tcW w:w="5817" w:type="dxa"/>
            <w:tcBorders>
              <w:top w:val="single" w:color="auto" w:sz="4" w:space="0"/>
              <w:left w:val="single" w:color="auto" w:sz="4" w:space="0"/>
              <w:right w:val="single" w:color="auto" w:sz="4" w:space="0"/>
            </w:tcBorders>
          </w:tcPr>
          <w:p>
            <w:pPr>
              <w:widowControl/>
              <w:jc w:val="center"/>
              <w:rPr>
                <w:rFonts w:ascii="宋体" w:hAnsi="宋体" w:cs="宋体"/>
                <w:b/>
                <w:kern w:val="0"/>
                <w:sz w:val="24"/>
              </w:rPr>
            </w:pPr>
            <w:r>
              <w:rPr>
                <w:rFonts w:hint="eastAsia" w:ascii="宋体" w:hAnsi="宋体" w:cs="宋体"/>
                <w:b/>
                <w:bCs/>
                <w:sz w:val="24"/>
              </w:rPr>
              <w:t>综合素质测评</w:t>
            </w:r>
            <w:r>
              <w:rPr>
                <w:rFonts w:hint="eastAsia" w:ascii="宋体" w:hAnsi="宋体" w:cs="宋体"/>
                <w:b/>
                <w:kern w:val="0"/>
                <w:sz w:val="24"/>
              </w:rPr>
              <w:t>（20</w:t>
            </w:r>
            <w:r>
              <w:rPr>
                <w:rFonts w:hint="eastAsia"/>
                <w:b/>
                <w:sz w:val="24"/>
              </w:rPr>
              <w:t>%</w:t>
            </w:r>
            <w:r>
              <w:rPr>
                <w:rFonts w:hint="eastAsia" w:ascii="宋体" w:hAnsi="宋体" w:cs="宋体"/>
                <w:b/>
                <w:kern w:val="0"/>
                <w:sz w:val="24"/>
              </w:rPr>
              <w:t>）</w:t>
            </w:r>
            <w:r>
              <w:rPr>
                <w:rFonts w:hint="eastAsia"/>
                <w:b/>
                <w:sz w:val="24"/>
              </w:rPr>
              <w:t>、作品分析（80%）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680" w:type="dxa"/>
            <w:tcBorders>
              <w:top w:val="single" w:color="auto" w:sz="4" w:space="0"/>
              <w:left w:val="single" w:color="auto" w:sz="4" w:space="0"/>
              <w:right w:val="single" w:color="auto" w:sz="4" w:space="0"/>
            </w:tcBorders>
            <w:vAlign w:val="center"/>
          </w:tcPr>
          <w:p>
            <w:pPr>
              <w:widowControl/>
              <w:jc w:val="center"/>
              <w:rPr>
                <w:b/>
                <w:sz w:val="24"/>
              </w:rPr>
            </w:pPr>
            <w:r>
              <w:rPr>
                <w:rFonts w:hint="eastAsia"/>
                <w:b/>
                <w:sz w:val="24"/>
              </w:rPr>
              <w:t>广播影视节目制作</w:t>
            </w:r>
          </w:p>
        </w:tc>
        <w:tc>
          <w:tcPr>
            <w:tcW w:w="2560" w:type="dxa"/>
            <w:tcBorders>
              <w:top w:val="single" w:color="auto" w:sz="4" w:space="0"/>
              <w:left w:val="single" w:color="auto" w:sz="4" w:space="0"/>
              <w:right w:val="single" w:color="auto" w:sz="4" w:space="0"/>
            </w:tcBorders>
          </w:tcPr>
          <w:p>
            <w:pPr>
              <w:ind w:firstLine="482" w:firstLineChars="200"/>
              <w:jc w:val="center"/>
              <w:rPr>
                <w:b/>
                <w:sz w:val="24"/>
              </w:rPr>
            </w:pPr>
          </w:p>
        </w:tc>
        <w:tc>
          <w:tcPr>
            <w:tcW w:w="5817" w:type="dxa"/>
            <w:tcBorders>
              <w:top w:val="single" w:color="auto" w:sz="4" w:space="0"/>
              <w:left w:val="single" w:color="auto" w:sz="4" w:space="0"/>
              <w:right w:val="single" w:color="auto" w:sz="4" w:space="0"/>
            </w:tcBorders>
          </w:tcPr>
          <w:p>
            <w:pPr>
              <w:widowControl/>
              <w:jc w:val="center"/>
              <w:rPr>
                <w:rFonts w:ascii="宋体" w:hAnsi="宋体" w:cs="宋体"/>
                <w:b/>
                <w:kern w:val="0"/>
                <w:sz w:val="24"/>
              </w:rPr>
            </w:pPr>
            <w:r>
              <w:rPr>
                <w:rFonts w:hint="eastAsia" w:ascii="宋体" w:hAnsi="宋体" w:cs="宋体"/>
                <w:b/>
                <w:bCs/>
                <w:sz w:val="24"/>
              </w:rPr>
              <w:t>综合素质测评</w:t>
            </w:r>
            <w:r>
              <w:rPr>
                <w:rFonts w:hint="eastAsia" w:ascii="宋体" w:hAnsi="宋体" w:cs="宋体"/>
                <w:b/>
                <w:kern w:val="0"/>
                <w:sz w:val="24"/>
              </w:rPr>
              <w:t>（20</w:t>
            </w:r>
            <w:r>
              <w:rPr>
                <w:rFonts w:hint="eastAsia"/>
                <w:b/>
                <w:sz w:val="24"/>
              </w:rPr>
              <w:t>%</w:t>
            </w:r>
            <w:r>
              <w:rPr>
                <w:rFonts w:hint="eastAsia" w:ascii="宋体" w:hAnsi="宋体" w:cs="宋体"/>
                <w:b/>
                <w:kern w:val="0"/>
                <w:sz w:val="24"/>
              </w:rPr>
              <w:t>）</w:t>
            </w:r>
            <w:r>
              <w:rPr>
                <w:rFonts w:hint="eastAsia"/>
                <w:b/>
                <w:sz w:val="24"/>
              </w:rPr>
              <w:t>、作品分析（80%）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680" w:type="dxa"/>
            <w:tcBorders>
              <w:top w:val="single" w:color="auto" w:sz="4" w:space="0"/>
              <w:left w:val="single" w:color="auto" w:sz="4" w:space="0"/>
              <w:right w:val="single" w:color="auto" w:sz="4" w:space="0"/>
            </w:tcBorders>
            <w:vAlign w:val="center"/>
          </w:tcPr>
          <w:p>
            <w:pPr>
              <w:widowControl/>
              <w:jc w:val="center"/>
              <w:rPr>
                <w:b/>
                <w:sz w:val="24"/>
              </w:rPr>
            </w:pPr>
            <w:r>
              <w:rPr>
                <w:rFonts w:hint="eastAsia"/>
                <w:b/>
                <w:sz w:val="24"/>
              </w:rPr>
              <w:t>影视动画</w:t>
            </w:r>
          </w:p>
        </w:tc>
        <w:tc>
          <w:tcPr>
            <w:tcW w:w="2560" w:type="dxa"/>
            <w:tcBorders>
              <w:top w:val="single" w:color="auto" w:sz="4" w:space="0"/>
              <w:left w:val="single" w:color="auto" w:sz="4" w:space="0"/>
              <w:right w:val="single" w:color="auto" w:sz="4" w:space="0"/>
            </w:tcBorders>
          </w:tcPr>
          <w:p>
            <w:pPr>
              <w:ind w:left="361" w:hanging="361" w:hangingChars="150"/>
              <w:jc w:val="center"/>
              <w:rPr>
                <w:b/>
                <w:sz w:val="24"/>
              </w:rPr>
            </w:pPr>
          </w:p>
        </w:tc>
        <w:tc>
          <w:tcPr>
            <w:tcW w:w="5817" w:type="dxa"/>
            <w:tcBorders>
              <w:top w:val="single" w:color="auto" w:sz="4" w:space="0"/>
              <w:left w:val="single" w:color="auto" w:sz="4" w:space="0"/>
              <w:right w:val="single" w:color="auto" w:sz="4" w:space="0"/>
            </w:tcBorders>
          </w:tcPr>
          <w:p>
            <w:pPr>
              <w:widowControl/>
              <w:jc w:val="center"/>
              <w:rPr>
                <w:rFonts w:ascii="宋体" w:hAnsi="宋体" w:cs="宋体"/>
                <w:b/>
                <w:kern w:val="0"/>
                <w:sz w:val="24"/>
              </w:rPr>
            </w:pPr>
            <w:r>
              <w:rPr>
                <w:rFonts w:hint="eastAsia" w:ascii="宋体" w:hAnsi="宋体" w:cs="宋体"/>
                <w:b/>
                <w:bCs/>
                <w:sz w:val="24"/>
              </w:rPr>
              <w:t>综合素质测评</w:t>
            </w:r>
            <w:r>
              <w:rPr>
                <w:rFonts w:hint="eastAsia" w:ascii="宋体" w:hAnsi="宋体" w:cs="宋体"/>
                <w:b/>
                <w:kern w:val="0"/>
                <w:sz w:val="24"/>
              </w:rPr>
              <w:t>（20</w:t>
            </w:r>
            <w:r>
              <w:rPr>
                <w:rFonts w:hint="eastAsia"/>
                <w:b/>
                <w:sz w:val="24"/>
              </w:rPr>
              <w:t>%</w:t>
            </w:r>
            <w:r>
              <w:rPr>
                <w:rFonts w:hint="eastAsia" w:ascii="宋体" w:hAnsi="宋体" w:cs="宋体"/>
                <w:b/>
                <w:kern w:val="0"/>
                <w:sz w:val="24"/>
              </w:rPr>
              <w:t>）</w:t>
            </w:r>
            <w:r>
              <w:rPr>
                <w:rFonts w:hint="eastAsia"/>
                <w:b/>
                <w:sz w:val="24"/>
              </w:rPr>
              <w:t>、</w:t>
            </w:r>
            <w:r>
              <w:rPr>
                <w:rFonts w:hint="eastAsia" w:ascii="宋体" w:hAnsi="宋体" w:cs="宋体"/>
                <w:b/>
                <w:kern w:val="0"/>
                <w:sz w:val="24"/>
              </w:rPr>
              <w:t>素描</w:t>
            </w:r>
            <w:r>
              <w:rPr>
                <w:rFonts w:hint="eastAsia"/>
                <w:b/>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680" w:type="dxa"/>
            <w:tcBorders>
              <w:top w:val="single" w:color="auto" w:sz="4" w:space="0"/>
              <w:left w:val="single" w:color="auto" w:sz="4" w:space="0"/>
              <w:right w:val="single" w:color="auto" w:sz="4" w:space="0"/>
            </w:tcBorders>
            <w:vAlign w:val="center"/>
          </w:tcPr>
          <w:p>
            <w:pPr>
              <w:widowControl/>
              <w:jc w:val="center"/>
              <w:rPr>
                <w:b/>
                <w:sz w:val="24"/>
              </w:rPr>
            </w:pPr>
            <w:r>
              <w:rPr>
                <w:rFonts w:hint="eastAsia"/>
                <w:b/>
                <w:sz w:val="24"/>
              </w:rPr>
              <w:t>新闻采编与制作</w:t>
            </w:r>
          </w:p>
        </w:tc>
        <w:tc>
          <w:tcPr>
            <w:tcW w:w="2560" w:type="dxa"/>
            <w:tcBorders>
              <w:top w:val="single" w:color="auto" w:sz="4" w:space="0"/>
              <w:left w:val="single" w:color="auto" w:sz="4" w:space="0"/>
              <w:right w:val="single" w:color="auto" w:sz="4" w:space="0"/>
            </w:tcBorders>
          </w:tcPr>
          <w:p>
            <w:pPr>
              <w:ind w:left="361" w:hanging="361" w:hangingChars="150"/>
              <w:jc w:val="center"/>
              <w:rPr>
                <w:b/>
                <w:sz w:val="24"/>
              </w:rPr>
            </w:pPr>
          </w:p>
        </w:tc>
        <w:tc>
          <w:tcPr>
            <w:tcW w:w="5817" w:type="dxa"/>
            <w:tcBorders>
              <w:top w:val="single" w:color="auto" w:sz="4" w:space="0"/>
              <w:left w:val="single" w:color="auto" w:sz="4" w:space="0"/>
              <w:right w:val="single" w:color="auto" w:sz="4" w:space="0"/>
            </w:tcBorders>
          </w:tcPr>
          <w:p>
            <w:pPr>
              <w:widowControl/>
              <w:jc w:val="center"/>
              <w:rPr>
                <w:rFonts w:ascii="宋体" w:hAnsi="宋体" w:cs="宋体"/>
                <w:b/>
                <w:kern w:val="0"/>
                <w:sz w:val="24"/>
              </w:rPr>
            </w:pPr>
            <w:r>
              <w:rPr>
                <w:rFonts w:hint="eastAsia" w:ascii="宋体" w:hAnsi="宋体" w:cs="宋体"/>
                <w:b/>
                <w:bCs/>
                <w:sz w:val="24"/>
              </w:rPr>
              <w:t>综合素质测评</w:t>
            </w:r>
            <w:r>
              <w:rPr>
                <w:rFonts w:hint="eastAsia" w:ascii="宋体" w:hAnsi="宋体" w:cs="宋体"/>
                <w:b/>
                <w:kern w:val="0"/>
                <w:sz w:val="24"/>
              </w:rPr>
              <w:t>（20</w:t>
            </w:r>
            <w:r>
              <w:rPr>
                <w:rFonts w:hint="eastAsia"/>
                <w:b/>
                <w:sz w:val="24"/>
              </w:rPr>
              <w:t>%</w:t>
            </w:r>
            <w:r>
              <w:rPr>
                <w:rFonts w:hint="eastAsia" w:ascii="宋体" w:hAnsi="宋体" w:cs="宋体"/>
                <w:b/>
                <w:kern w:val="0"/>
                <w:sz w:val="24"/>
              </w:rPr>
              <w:t>）</w:t>
            </w:r>
            <w:r>
              <w:rPr>
                <w:rFonts w:hint="eastAsia"/>
                <w:b/>
                <w:sz w:val="24"/>
              </w:rPr>
              <w:t>、作品分析（80%）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680" w:type="dxa"/>
            <w:tcBorders>
              <w:top w:val="single" w:color="auto" w:sz="4" w:space="0"/>
              <w:left w:val="single" w:color="auto" w:sz="4" w:space="0"/>
              <w:right w:val="single" w:color="auto" w:sz="4" w:space="0"/>
            </w:tcBorders>
            <w:vAlign w:val="center"/>
          </w:tcPr>
          <w:p>
            <w:pPr>
              <w:widowControl/>
              <w:ind w:left="1205" w:hanging="1205" w:hangingChars="500"/>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文化产业经营与管理</w:t>
            </w:r>
          </w:p>
        </w:tc>
        <w:tc>
          <w:tcPr>
            <w:tcW w:w="2560" w:type="dxa"/>
            <w:tcBorders>
              <w:top w:val="single" w:color="auto" w:sz="4" w:space="0"/>
              <w:left w:val="single" w:color="auto" w:sz="4" w:space="0"/>
              <w:right w:val="single" w:color="auto" w:sz="4" w:space="0"/>
            </w:tcBorders>
          </w:tcPr>
          <w:p>
            <w:pPr>
              <w:jc w:val="center"/>
              <w:rPr>
                <w:b/>
                <w:color w:val="000000" w:themeColor="text1"/>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演艺策划与管理方向</w:t>
            </w:r>
          </w:p>
        </w:tc>
        <w:tc>
          <w:tcPr>
            <w:tcW w:w="581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color w:val="000000" w:themeColor="text1"/>
                <w:kern w:val="0"/>
                <w:sz w:val="24"/>
                <w14:textFill>
                  <w14:solidFill>
                    <w14:schemeClr w14:val="tx1"/>
                  </w14:solidFill>
                </w14:textFill>
              </w:rPr>
            </w:pPr>
            <w:r>
              <w:rPr>
                <w:rFonts w:hint="eastAsia" w:ascii="宋体" w:hAnsi="宋体" w:cs="宋体"/>
                <w:b/>
                <w:bCs/>
                <w:sz w:val="24"/>
              </w:rPr>
              <w:t>综合素质测评</w:t>
            </w:r>
            <w:r>
              <w:rPr>
                <w:rFonts w:hint="eastAsia" w:ascii="宋体" w:hAnsi="宋体" w:cs="宋体"/>
                <w:b/>
                <w:color w:val="000000" w:themeColor="text1"/>
                <w:kern w:val="0"/>
                <w:sz w:val="24"/>
                <w14:textFill>
                  <w14:solidFill>
                    <w14:schemeClr w14:val="tx1"/>
                  </w14:solidFill>
                </w14:textFill>
              </w:rPr>
              <w:t>（20</w:t>
            </w:r>
            <w:r>
              <w:rPr>
                <w:rFonts w:hint="eastAsia"/>
                <w:b/>
                <w:color w:val="000000" w:themeColor="text1"/>
                <w:sz w:val="24"/>
                <w14:textFill>
                  <w14:solidFill>
                    <w14:schemeClr w14:val="tx1"/>
                  </w14:solidFill>
                </w14:textFill>
              </w:rPr>
              <w:t>%</w:t>
            </w:r>
            <w:r>
              <w:rPr>
                <w:rFonts w:hint="eastAsia" w:ascii="宋体" w:hAnsi="宋体" w:cs="宋体"/>
                <w:b/>
                <w:color w:val="000000" w:themeColor="text1"/>
                <w:kern w:val="0"/>
                <w:sz w:val="24"/>
                <w14:textFill>
                  <w14:solidFill>
                    <w14:schemeClr w14:val="tx1"/>
                  </w14:solidFill>
                </w14:textFill>
              </w:rPr>
              <w:t>）</w:t>
            </w:r>
            <w:r>
              <w:rPr>
                <w:rFonts w:hint="eastAsia"/>
                <w:b/>
                <w:color w:val="000000" w:themeColor="text1"/>
                <w:sz w:val="24"/>
                <w14:textFill>
                  <w14:solidFill>
                    <w14:schemeClr w14:val="tx1"/>
                  </w14:solidFill>
                </w14:textFill>
              </w:rPr>
              <w:t>、专业知识问答（80%）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680" w:type="dxa"/>
            <w:tcBorders>
              <w:top w:val="single" w:color="auto" w:sz="4" w:space="0"/>
              <w:left w:val="single" w:color="auto" w:sz="4" w:space="0"/>
              <w:right w:val="single" w:color="auto" w:sz="4" w:space="0"/>
            </w:tcBorders>
            <w:vAlign w:val="center"/>
          </w:tcPr>
          <w:p>
            <w:pPr>
              <w:widowControl/>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文物修复与保护</w:t>
            </w:r>
          </w:p>
        </w:tc>
        <w:tc>
          <w:tcPr>
            <w:tcW w:w="2560" w:type="dxa"/>
            <w:tcBorders>
              <w:top w:val="single" w:color="auto" w:sz="4" w:space="0"/>
              <w:left w:val="single" w:color="auto" w:sz="4" w:space="0"/>
              <w:right w:val="single" w:color="auto" w:sz="4" w:space="0"/>
            </w:tcBorders>
          </w:tcPr>
          <w:p>
            <w:pPr>
              <w:ind w:left="361" w:hanging="361" w:hangingChars="150"/>
              <w:jc w:val="center"/>
              <w:rPr>
                <w:b/>
                <w:color w:val="000000" w:themeColor="text1"/>
                <w:sz w:val="24"/>
                <w14:textFill>
                  <w14:solidFill>
                    <w14:schemeClr w14:val="tx1"/>
                  </w14:solidFill>
                </w14:textFill>
              </w:rPr>
            </w:pPr>
          </w:p>
        </w:tc>
        <w:tc>
          <w:tcPr>
            <w:tcW w:w="5817" w:type="dxa"/>
            <w:tcBorders>
              <w:top w:val="single" w:color="auto" w:sz="4" w:space="0"/>
              <w:left w:val="single" w:color="auto" w:sz="4" w:space="0"/>
              <w:right w:val="single" w:color="auto" w:sz="4" w:space="0"/>
            </w:tcBorders>
          </w:tcPr>
          <w:p>
            <w:pPr>
              <w:widowControl/>
              <w:jc w:val="center"/>
              <w:rPr>
                <w:rFonts w:ascii="宋体" w:hAnsi="宋体" w:cs="宋体"/>
                <w:b/>
                <w:color w:val="000000" w:themeColor="text1"/>
                <w:kern w:val="0"/>
                <w:sz w:val="24"/>
                <w14:textFill>
                  <w14:solidFill>
                    <w14:schemeClr w14:val="tx1"/>
                  </w14:solidFill>
                </w14:textFill>
              </w:rPr>
            </w:pPr>
            <w:r>
              <w:rPr>
                <w:rFonts w:hint="eastAsia" w:ascii="宋体" w:hAnsi="宋体" w:cs="宋体"/>
                <w:b/>
                <w:bCs/>
                <w:sz w:val="24"/>
              </w:rPr>
              <w:t>综合素质测评</w:t>
            </w:r>
            <w:r>
              <w:rPr>
                <w:rFonts w:hint="eastAsia" w:ascii="宋体" w:hAnsi="宋体" w:cs="宋体"/>
                <w:b/>
                <w:color w:val="000000" w:themeColor="text1"/>
                <w:kern w:val="0"/>
                <w:sz w:val="24"/>
                <w14:textFill>
                  <w14:solidFill>
                    <w14:schemeClr w14:val="tx1"/>
                  </w14:solidFill>
                </w14:textFill>
              </w:rPr>
              <w:t>（20</w:t>
            </w:r>
            <w:r>
              <w:rPr>
                <w:rFonts w:hint="eastAsia"/>
                <w:b/>
                <w:color w:val="000000" w:themeColor="text1"/>
                <w:sz w:val="24"/>
                <w14:textFill>
                  <w14:solidFill>
                    <w14:schemeClr w14:val="tx1"/>
                  </w14:solidFill>
                </w14:textFill>
              </w:rPr>
              <w:t>%</w:t>
            </w:r>
            <w:r>
              <w:rPr>
                <w:rFonts w:hint="eastAsia" w:ascii="宋体" w:hAnsi="宋体" w:cs="宋体"/>
                <w:b/>
                <w:color w:val="000000" w:themeColor="text1"/>
                <w:kern w:val="0"/>
                <w:sz w:val="24"/>
                <w14:textFill>
                  <w14:solidFill>
                    <w14:schemeClr w14:val="tx1"/>
                  </w14:solidFill>
                </w14:textFill>
              </w:rPr>
              <w:t>）</w:t>
            </w:r>
            <w:r>
              <w:rPr>
                <w:rFonts w:hint="eastAsia"/>
                <w:b/>
                <w:color w:val="000000" w:themeColor="text1"/>
                <w:sz w:val="24"/>
                <w14:textFill>
                  <w14:solidFill>
                    <w14:schemeClr w14:val="tx1"/>
                  </w14:solidFill>
                </w14:textFill>
              </w:rPr>
              <w:t>、</w:t>
            </w:r>
            <w:r>
              <w:rPr>
                <w:rFonts w:hint="eastAsia" w:ascii="宋体" w:hAnsi="宋体" w:cs="宋体"/>
                <w:b/>
                <w:color w:val="000000" w:themeColor="text1"/>
                <w:kern w:val="0"/>
                <w:sz w:val="24"/>
                <w14:textFill>
                  <w14:solidFill>
                    <w14:schemeClr w14:val="tx1"/>
                  </w14:solidFill>
                </w14:textFill>
              </w:rPr>
              <w:t>器物线图临摹</w:t>
            </w:r>
            <w:r>
              <w:rPr>
                <w:rFonts w:hint="eastAsia"/>
                <w:b/>
                <w:color w:val="000000" w:themeColor="text1"/>
                <w:sz w:val="24"/>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680" w:type="dxa"/>
            <w:tcBorders>
              <w:top w:val="single" w:color="auto" w:sz="4" w:space="0"/>
              <w:left w:val="single" w:color="auto" w:sz="4" w:space="0"/>
              <w:right w:val="single" w:color="auto" w:sz="4" w:space="0"/>
            </w:tcBorders>
            <w:vAlign w:val="center"/>
          </w:tcPr>
          <w:p>
            <w:pPr>
              <w:widowControl/>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空中乘务</w:t>
            </w:r>
          </w:p>
        </w:tc>
        <w:tc>
          <w:tcPr>
            <w:tcW w:w="2560" w:type="dxa"/>
            <w:tcBorders>
              <w:top w:val="single" w:color="auto" w:sz="4" w:space="0"/>
              <w:left w:val="single" w:color="auto" w:sz="4" w:space="0"/>
              <w:right w:val="single" w:color="auto" w:sz="4" w:space="0"/>
            </w:tcBorders>
          </w:tcPr>
          <w:p>
            <w:pPr>
              <w:ind w:left="361" w:hanging="361" w:hangingChars="150"/>
              <w:jc w:val="center"/>
              <w:rPr>
                <w:b/>
                <w:color w:val="000000" w:themeColor="text1"/>
                <w:sz w:val="24"/>
                <w14:textFill>
                  <w14:solidFill>
                    <w14:schemeClr w14:val="tx1"/>
                  </w14:solidFill>
                </w14:textFill>
              </w:rPr>
            </w:pPr>
          </w:p>
        </w:tc>
        <w:tc>
          <w:tcPr>
            <w:tcW w:w="5817" w:type="dxa"/>
            <w:tcBorders>
              <w:top w:val="single" w:color="auto" w:sz="4" w:space="0"/>
              <w:left w:val="single" w:color="auto" w:sz="4" w:space="0"/>
              <w:right w:val="single" w:color="auto" w:sz="4" w:space="0"/>
            </w:tcBorders>
          </w:tcPr>
          <w:p>
            <w:pPr>
              <w:widowControl/>
              <w:jc w:val="center"/>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自我介绍(10</w:t>
            </w:r>
            <w:r>
              <w:rPr>
                <w:rFonts w:hint="eastAsia"/>
                <w:b/>
                <w:color w:val="000000" w:themeColor="text1"/>
                <w:sz w:val="24"/>
                <w14:textFill>
                  <w14:solidFill>
                    <w14:schemeClr w14:val="tx1"/>
                  </w14:solidFill>
                </w14:textFill>
              </w:rPr>
              <w:t>%</w:t>
            </w:r>
            <w:r>
              <w:rPr>
                <w:rFonts w:hint="eastAsia" w:ascii="宋体" w:hAnsi="宋体" w:cs="宋体"/>
                <w:b/>
                <w:color w:val="000000" w:themeColor="text1"/>
                <w:kern w:val="0"/>
                <w:sz w:val="24"/>
                <w14:textFill>
                  <w14:solidFill>
                    <w14:schemeClr w14:val="tx1"/>
                  </w14:solidFill>
                </w14:textFill>
              </w:rPr>
              <w:t>）</w:t>
            </w:r>
            <w:r>
              <w:rPr>
                <w:rFonts w:hint="eastAsia"/>
                <w:b/>
                <w:color w:val="000000" w:themeColor="text1"/>
                <w:sz w:val="24"/>
                <w14:textFill>
                  <w14:solidFill>
                    <w14:schemeClr w14:val="tx1"/>
                  </w14:solidFill>
                </w14:textFill>
              </w:rPr>
              <w:t>、才艺展示（10%）、(</w:t>
            </w:r>
            <w:r>
              <w:rPr>
                <w:rFonts w:hint="eastAsia" w:ascii="宋体" w:hAnsi="宋体" w:cs="宋体"/>
                <w:b/>
                <w:color w:val="000000" w:themeColor="text1"/>
                <w:kern w:val="0"/>
                <w:sz w:val="24"/>
                <w14:textFill>
                  <w14:solidFill>
                    <w14:schemeClr w14:val="tx1"/>
                  </w14:solidFill>
                </w14:textFill>
              </w:rPr>
              <w:t>身体协调性、广播词播报、情景模拟（80%）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680" w:type="dxa"/>
            <w:tcBorders>
              <w:top w:val="single" w:color="auto" w:sz="4" w:space="0"/>
              <w:left w:val="single" w:color="auto" w:sz="4" w:space="0"/>
              <w:right w:val="single" w:color="auto" w:sz="4" w:space="0"/>
            </w:tcBorders>
            <w:vAlign w:val="center"/>
          </w:tcPr>
          <w:p>
            <w:pPr>
              <w:pStyle w:val="10"/>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酒店管理与数字化运营</w:t>
            </w:r>
          </w:p>
        </w:tc>
        <w:tc>
          <w:tcPr>
            <w:tcW w:w="2560" w:type="dxa"/>
            <w:tcBorders>
              <w:top w:val="single" w:color="auto" w:sz="4" w:space="0"/>
              <w:left w:val="single" w:color="auto" w:sz="4" w:space="0"/>
              <w:right w:val="single" w:color="auto" w:sz="4" w:space="0"/>
            </w:tcBorders>
          </w:tcPr>
          <w:p>
            <w:pPr>
              <w:jc w:val="center"/>
              <w:rPr>
                <w:b/>
                <w:color w:val="000000" w:themeColor="text1"/>
                <w:sz w:val="24"/>
                <w14:textFill>
                  <w14:solidFill>
                    <w14:schemeClr w14:val="tx1"/>
                  </w14:solidFill>
                </w14:textFill>
              </w:rPr>
            </w:pPr>
          </w:p>
        </w:tc>
        <w:tc>
          <w:tcPr>
            <w:tcW w:w="5817" w:type="dxa"/>
            <w:tcBorders>
              <w:top w:val="single" w:color="auto" w:sz="4" w:space="0"/>
              <w:left w:val="single" w:color="auto" w:sz="4" w:space="0"/>
              <w:right w:val="single" w:color="auto" w:sz="4" w:space="0"/>
            </w:tcBorders>
          </w:tcPr>
          <w:p>
            <w:pPr>
              <w:jc w:val="center"/>
              <w:rPr>
                <w:b/>
                <w:color w:val="000000" w:themeColor="text1"/>
                <w:sz w:val="24"/>
                <w14:textFill>
                  <w14:solidFill>
                    <w14:schemeClr w14:val="tx1"/>
                  </w14:solidFill>
                </w14:textFill>
              </w:rPr>
            </w:pPr>
            <w:r>
              <w:rPr>
                <w:rFonts w:hint="eastAsia" w:ascii="宋体" w:hAnsi="宋体" w:cs="宋体"/>
                <w:b/>
                <w:bCs/>
                <w:sz w:val="24"/>
              </w:rPr>
              <w:t>综合素质测评</w:t>
            </w:r>
            <w:r>
              <w:rPr>
                <w:rFonts w:hint="eastAsia" w:ascii="宋体" w:hAnsi="宋体" w:cs="宋体"/>
                <w:b/>
                <w:color w:val="000000" w:themeColor="text1"/>
                <w:kern w:val="0"/>
                <w:sz w:val="24"/>
                <w14:textFill>
                  <w14:solidFill>
                    <w14:schemeClr w14:val="tx1"/>
                  </w14:solidFill>
                </w14:textFill>
              </w:rPr>
              <w:t>（20</w:t>
            </w:r>
            <w:r>
              <w:rPr>
                <w:rFonts w:hint="eastAsia"/>
                <w:b/>
                <w:color w:val="000000" w:themeColor="text1"/>
                <w:sz w:val="24"/>
                <w14:textFill>
                  <w14:solidFill>
                    <w14:schemeClr w14:val="tx1"/>
                  </w14:solidFill>
                </w14:textFill>
              </w:rPr>
              <w:t>%</w:t>
            </w:r>
            <w:r>
              <w:rPr>
                <w:rFonts w:hint="eastAsia" w:ascii="宋体" w:hAnsi="宋体" w:cs="宋体"/>
                <w:b/>
                <w:color w:val="000000" w:themeColor="text1"/>
                <w:kern w:val="0"/>
                <w:sz w:val="24"/>
                <w14:textFill>
                  <w14:solidFill>
                    <w14:schemeClr w14:val="tx1"/>
                  </w14:solidFill>
                </w14:textFill>
              </w:rPr>
              <w:t>）、（职业礼仪、服务情景模拟)（80%）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2680" w:type="dxa"/>
            <w:tcBorders>
              <w:top w:val="single" w:color="auto" w:sz="4" w:space="0"/>
              <w:left w:val="single" w:color="auto" w:sz="4" w:space="0"/>
              <w:right w:val="single" w:color="auto" w:sz="4" w:space="0"/>
            </w:tcBorders>
            <w:vAlign w:val="center"/>
          </w:tcPr>
          <w:p>
            <w:pPr>
              <w:widowControl/>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播音与主持</w:t>
            </w:r>
          </w:p>
        </w:tc>
        <w:tc>
          <w:tcPr>
            <w:tcW w:w="2560" w:type="dxa"/>
            <w:tcBorders>
              <w:top w:val="single" w:color="auto" w:sz="4" w:space="0"/>
              <w:left w:val="single" w:color="auto" w:sz="4" w:space="0"/>
              <w:right w:val="single" w:color="auto" w:sz="4" w:space="0"/>
            </w:tcBorders>
          </w:tcPr>
          <w:p>
            <w:pPr>
              <w:ind w:left="361" w:hanging="361" w:hangingChars="150"/>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tc>
        <w:tc>
          <w:tcPr>
            <w:tcW w:w="5817" w:type="dxa"/>
            <w:tcBorders>
              <w:top w:val="single" w:color="auto" w:sz="4" w:space="0"/>
              <w:left w:val="single" w:color="auto" w:sz="4" w:space="0"/>
              <w:right w:val="single" w:color="auto" w:sz="4" w:space="0"/>
            </w:tcBorders>
          </w:tcPr>
          <w:p>
            <w:pPr>
              <w:widowControl/>
              <w:jc w:val="center"/>
              <w:rPr>
                <w:rFonts w:ascii="宋体" w:hAnsi="宋体" w:cs="宋体"/>
                <w:b/>
                <w:color w:val="000000" w:themeColor="text1"/>
                <w:kern w:val="0"/>
                <w:sz w:val="24"/>
                <w14:textFill>
                  <w14:solidFill>
                    <w14:schemeClr w14:val="tx1"/>
                  </w14:solidFill>
                </w14:textFill>
              </w:rPr>
            </w:pPr>
            <w:r>
              <w:rPr>
                <w:rFonts w:ascii="宋体" w:hAnsi="宋体" w:cs="宋体"/>
                <w:b/>
                <w:color w:val="000000" w:themeColor="text1"/>
                <w:kern w:val="0"/>
                <w:sz w:val="24"/>
                <w14:textFill>
                  <w14:solidFill>
                    <w14:schemeClr w14:val="tx1"/>
                  </w14:solidFill>
                </w14:textFill>
              </w:rPr>
              <w:t>自我介绍</w:t>
            </w:r>
            <w:r>
              <w:rPr>
                <w:rFonts w:hint="eastAsia" w:ascii="宋体" w:hAnsi="宋体" w:cs="宋体"/>
                <w:b/>
                <w:color w:val="000000" w:themeColor="text1"/>
                <w:kern w:val="0"/>
                <w:sz w:val="24"/>
                <w14:textFill>
                  <w14:solidFill>
                    <w14:schemeClr w14:val="tx1"/>
                  </w14:solidFill>
                </w14:textFill>
              </w:rPr>
              <w:t>（20%）</w:t>
            </w:r>
            <w:r>
              <w:rPr>
                <w:rFonts w:hint="eastAsia"/>
                <w:b/>
                <w:color w:val="000000" w:themeColor="text1"/>
                <w:sz w:val="24"/>
                <w14:textFill>
                  <w14:solidFill>
                    <w14:schemeClr w14:val="tx1"/>
                  </w14:solidFill>
                </w14:textFill>
              </w:rPr>
              <w:t>、</w:t>
            </w:r>
            <w:r>
              <w:rPr>
                <w:rFonts w:ascii="宋体" w:hAnsi="宋体" w:cs="宋体"/>
                <w:b/>
                <w:color w:val="000000" w:themeColor="text1"/>
                <w:kern w:val="0"/>
                <w:sz w:val="24"/>
                <w14:textFill>
                  <w14:solidFill>
                    <w14:schemeClr w14:val="tx1"/>
                  </w14:solidFill>
                </w14:textFill>
              </w:rPr>
              <w:t>朗诵自备稿件、指定稿件播读、根据题目即兴评述或模拟主持、回答考官提问、才艺展示</w:t>
            </w:r>
            <w:r>
              <w:rPr>
                <w:rFonts w:hint="eastAsia" w:ascii="宋体" w:hAnsi="宋体" w:cs="宋体"/>
                <w:b/>
                <w:color w:val="000000" w:themeColor="text1"/>
                <w:kern w:val="0"/>
                <w:sz w:val="24"/>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680" w:type="dxa"/>
            <w:tcBorders>
              <w:top w:val="single" w:color="auto" w:sz="4" w:space="0"/>
              <w:left w:val="single" w:color="auto" w:sz="4" w:space="0"/>
              <w:right w:val="single" w:color="auto" w:sz="4" w:space="0"/>
            </w:tcBorders>
            <w:vAlign w:val="center"/>
          </w:tcPr>
          <w:p>
            <w:pPr>
              <w:pStyle w:val="10"/>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艺术教育</w:t>
            </w:r>
          </w:p>
        </w:tc>
        <w:tc>
          <w:tcPr>
            <w:tcW w:w="2560" w:type="dxa"/>
            <w:tcBorders>
              <w:top w:val="single" w:color="auto" w:sz="4" w:space="0"/>
              <w:left w:val="single" w:color="auto" w:sz="4" w:space="0"/>
              <w:right w:val="single" w:color="auto" w:sz="4" w:space="0"/>
            </w:tcBorders>
          </w:tcPr>
          <w:p>
            <w:pPr>
              <w:jc w:val="center"/>
              <w:rPr>
                <w:b/>
                <w:color w:val="000000" w:themeColor="text1"/>
                <w:sz w:val="24"/>
                <w14:textFill>
                  <w14:solidFill>
                    <w14:schemeClr w14:val="tx1"/>
                  </w14:solidFill>
                </w14:textFill>
              </w:rPr>
            </w:pPr>
          </w:p>
        </w:tc>
        <w:tc>
          <w:tcPr>
            <w:tcW w:w="5817" w:type="dxa"/>
            <w:tcBorders>
              <w:top w:val="single" w:color="auto" w:sz="4" w:space="0"/>
              <w:left w:val="single" w:color="auto" w:sz="4" w:space="0"/>
              <w:right w:val="single" w:color="auto" w:sz="4" w:space="0"/>
            </w:tcBorders>
          </w:tcPr>
          <w:p>
            <w:pPr>
              <w:jc w:val="center"/>
              <w:rPr>
                <w:rFonts w:ascii="宋体" w:hAnsi="宋体" w:cs="宋体"/>
                <w:b/>
                <w:color w:val="000000" w:themeColor="text1"/>
                <w:kern w:val="0"/>
                <w:sz w:val="24"/>
                <w14:textFill>
                  <w14:solidFill>
                    <w14:schemeClr w14:val="tx1"/>
                  </w14:solidFill>
                </w14:textFill>
              </w:rPr>
            </w:pPr>
            <w:r>
              <w:rPr>
                <w:rFonts w:hint="eastAsia"/>
                <w:b/>
                <w:color w:val="000000" w:themeColor="text1"/>
                <w:sz w:val="24"/>
                <w14:textFill>
                  <w14:solidFill>
                    <w14:schemeClr w14:val="tx1"/>
                  </w14:solidFill>
                </w14:textFill>
              </w:rPr>
              <w:t>自我介绍（15%）</w:t>
            </w:r>
            <w:r>
              <w:rPr>
                <w:rFonts w:hint="eastAsia" w:ascii="宋体" w:hAnsi="宋体" w:cs="宋体"/>
                <w:b/>
                <w:color w:val="000000" w:themeColor="text1"/>
                <w:kern w:val="0"/>
                <w:sz w:val="24"/>
                <w14:textFill>
                  <w14:solidFill>
                    <w14:schemeClr w14:val="tx1"/>
                  </w14:solidFill>
                </w14:textFill>
              </w:rPr>
              <w:t>、</w:t>
            </w:r>
            <w:r>
              <w:rPr>
                <w:rFonts w:hint="eastAsia"/>
                <w:b/>
                <w:color w:val="000000" w:themeColor="text1"/>
                <w:sz w:val="24"/>
                <w14:textFill>
                  <w14:solidFill>
                    <w14:schemeClr w14:val="tx1"/>
                  </w14:solidFill>
                </w14:textFill>
              </w:rPr>
              <w:t>曲谱视唱（5%）</w:t>
            </w:r>
            <w:r>
              <w:rPr>
                <w:rFonts w:ascii="宋体" w:hAnsi="宋体" w:cs="宋体"/>
                <w:b/>
                <w:color w:val="000000" w:themeColor="text1"/>
                <w:kern w:val="0"/>
                <w:sz w:val="24"/>
                <w14:textFill>
                  <w14:solidFill>
                    <w14:schemeClr w14:val="tx1"/>
                  </w14:solidFill>
                </w14:textFill>
              </w:rPr>
              <w:t>、</w:t>
            </w:r>
            <w:r>
              <w:rPr>
                <w:rFonts w:hint="eastAsia"/>
                <w:b/>
                <w:color w:val="000000" w:themeColor="text1"/>
                <w:sz w:val="24"/>
                <w14:textFill>
                  <w14:solidFill>
                    <w14:schemeClr w14:val="tx1"/>
                  </w14:solidFill>
                </w14:textFill>
              </w:rPr>
              <w:t>才艺展示（仅限舞蹈）（8</w:t>
            </w:r>
            <w:r>
              <w:rPr>
                <w:b/>
                <w:color w:val="000000" w:themeColor="text1"/>
                <w:sz w:val="24"/>
                <w14:textFill>
                  <w14:solidFill>
                    <w14:schemeClr w14:val="tx1"/>
                  </w14:solidFill>
                </w14:textFill>
              </w:rPr>
              <w:t>0%</w:t>
            </w:r>
            <w:r>
              <w:rPr>
                <w:rFonts w:hint="eastAsia"/>
                <w:b/>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680" w:type="dxa"/>
            <w:tcBorders>
              <w:left w:val="single" w:color="auto" w:sz="4" w:space="0"/>
              <w:right w:val="single" w:color="auto" w:sz="4" w:space="0"/>
            </w:tcBorders>
            <w:vAlign w:val="center"/>
          </w:tcPr>
          <w:p>
            <w:pPr>
              <w:pStyle w:val="10"/>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网络直播与运营</w:t>
            </w:r>
          </w:p>
        </w:tc>
        <w:tc>
          <w:tcPr>
            <w:tcW w:w="2560" w:type="dxa"/>
            <w:tcBorders>
              <w:left w:val="single" w:color="auto" w:sz="4" w:space="0"/>
              <w:right w:val="single" w:color="auto" w:sz="4" w:space="0"/>
            </w:tcBorders>
          </w:tcPr>
          <w:p>
            <w:pPr>
              <w:jc w:val="center"/>
              <w:rPr>
                <w:b/>
                <w:color w:val="000000" w:themeColor="text1"/>
                <w:sz w:val="24"/>
                <w14:textFill>
                  <w14:solidFill>
                    <w14:schemeClr w14:val="tx1"/>
                  </w14:solidFill>
                </w14:textFill>
              </w:rPr>
            </w:pPr>
          </w:p>
        </w:tc>
        <w:tc>
          <w:tcPr>
            <w:tcW w:w="5817" w:type="dxa"/>
            <w:tcBorders>
              <w:top w:val="single" w:color="auto" w:sz="4" w:space="0"/>
              <w:left w:val="single" w:color="auto" w:sz="4" w:space="0"/>
              <w:right w:val="single" w:color="auto" w:sz="4" w:space="0"/>
            </w:tcBorders>
          </w:tcPr>
          <w:p>
            <w:pPr>
              <w:widowControl/>
              <w:jc w:val="center"/>
              <w:rPr>
                <w:rFonts w:ascii="宋体" w:hAnsi="宋体" w:cs="宋体"/>
                <w:b/>
                <w:color w:val="000000" w:themeColor="text1"/>
                <w:kern w:val="0"/>
                <w:sz w:val="24"/>
                <w14:textFill>
                  <w14:solidFill>
                    <w14:schemeClr w14:val="tx1"/>
                  </w14:solidFill>
                </w14:textFill>
              </w:rPr>
            </w:pPr>
            <w:r>
              <w:rPr>
                <w:rFonts w:hint="eastAsia" w:ascii="宋体" w:hAnsi="宋体" w:cs="宋体"/>
                <w:b/>
                <w:bCs/>
                <w:sz w:val="24"/>
              </w:rPr>
              <w:t>综合素质测评</w:t>
            </w:r>
            <w:r>
              <w:rPr>
                <w:rFonts w:hint="eastAsia" w:ascii="宋体" w:hAnsi="宋体" w:cs="宋体"/>
                <w:b/>
                <w:color w:val="000000" w:themeColor="text1"/>
                <w:kern w:val="0"/>
                <w:sz w:val="24"/>
                <w14:textFill>
                  <w14:solidFill>
                    <w14:schemeClr w14:val="tx1"/>
                  </w14:solidFill>
                </w14:textFill>
              </w:rPr>
              <w:t>（20%）</w:t>
            </w:r>
            <w:r>
              <w:rPr>
                <w:rFonts w:hint="eastAsia"/>
                <w:b/>
                <w:color w:val="000000" w:themeColor="text1"/>
                <w:sz w:val="24"/>
                <w14:textFill>
                  <w14:solidFill>
                    <w14:schemeClr w14:val="tx1"/>
                  </w14:solidFill>
                </w14:textFill>
              </w:rPr>
              <w:t>、专业知识问答（</w:t>
            </w:r>
            <w:r>
              <w:rPr>
                <w:b/>
                <w:color w:val="000000" w:themeColor="text1"/>
                <w:sz w:val="24"/>
                <w14:textFill>
                  <w14:solidFill>
                    <w14:schemeClr w14:val="tx1"/>
                  </w14:solidFill>
                </w14:textFill>
              </w:rPr>
              <w:t>6</w:t>
            </w:r>
            <w:r>
              <w:rPr>
                <w:rFonts w:hint="eastAsia"/>
                <w:b/>
                <w:color w:val="000000" w:themeColor="text1"/>
                <w:sz w:val="24"/>
                <w14:textFill>
                  <w14:solidFill>
                    <w14:schemeClr w14:val="tx1"/>
                  </w14:solidFill>
                </w14:textFill>
              </w:rPr>
              <w:t>0%）、才艺展示（2</w:t>
            </w:r>
            <w:r>
              <w:rPr>
                <w:b/>
                <w:color w:val="000000" w:themeColor="text1"/>
                <w:sz w:val="24"/>
                <w14:textFill>
                  <w14:solidFill>
                    <w14:schemeClr w14:val="tx1"/>
                  </w14:solidFill>
                </w14:textFill>
              </w:rPr>
              <w:t>0</w:t>
            </w:r>
            <w:r>
              <w:rPr>
                <w:rFonts w:hint="eastAsia"/>
                <w:b/>
                <w:color w:val="000000" w:themeColor="text1"/>
                <w:sz w:val="24"/>
                <w14:textFill>
                  <w14:solidFill>
                    <w14:schemeClr w14:val="tx1"/>
                  </w14:solidFill>
                </w14:textFill>
              </w:rPr>
              <w:t>%）</w:t>
            </w:r>
          </w:p>
        </w:tc>
      </w:tr>
    </w:tbl>
    <w:p>
      <w:pPr>
        <w:widowControl/>
        <w:spacing w:line="500" w:lineRule="exact"/>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注：1.以上专业中，</w:t>
      </w:r>
      <w:r>
        <w:rPr>
          <w:rFonts w:hint="eastAsia" w:ascii="仿宋" w:hAnsi="仿宋" w:eastAsia="仿宋" w:cs="仿宋"/>
          <w:color w:val="000000" w:themeColor="text1"/>
          <w:kern w:val="0"/>
          <w:sz w:val="28"/>
          <w:szCs w:val="28"/>
          <w:lang w:bidi="ar"/>
          <w14:textFill>
            <w14:solidFill>
              <w14:schemeClr w14:val="tx1"/>
            </w14:solidFill>
          </w14:textFill>
        </w:rPr>
        <w:t>戏曲表演（杂技方向）、戏曲表演（石门荆河戏方向）</w:t>
      </w:r>
      <w:r>
        <w:rPr>
          <w:rFonts w:hint="eastAsia" w:ascii="仿宋" w:hAnsi="仿宋" w:eastAsia="仿宋" w:cs="仿宋"/>
          <w:color w:val="000000" w:themeColor="text1"/>
          <w:kern w:val="0"/>
          <w:sz w:val="28"/>
          <w:szCs w:val="28"/>
          <w14:textFill>
            <w14:solidFill>
              <w14:schemeClr w14:val="tx1"/>
            </w14:solidFill>
          </w14:textFill>
        </w:rPr>
        <w:t>专业为我校校企合作订单班，报考这两个专业方向的考生必须有杂技和荆河戏专业基础。</w:t>
      </w:r>
    </w:p>
    <w:p>
      <w:pPr>
        <w:widowControl/>
        <w:spacing w:line="500" w:lineRule="exact"/>
        <w:ind w:left="560"/>
        <w:jc w:val="left"/>
        <w:rPr>
          <w:rFonts w:ascii="仿宋" w:hAnsi="仿宋" w:eastAsia="仿宋" w:cs="仿宋"/>
          <w:sz w:val="28"/>
          <w:szCs w:val="28"/>
        </w:rPr>
      </w:pPr>
      <w:r>
        <w:rPr>
          <w:rFonts w:hint="eastAsia" w:ascii="仿宋" w:hAnsi="仿宋" w:eastAsia="仿宋" w:cs="仿宋"/>
          <w:sz w:val="28"/>
          <w:szCs w:val="28"/>
        </w:rPr>
        <w:t>2.艺术教育专业仅限才艺展示项目为舞蹈的学生报考。</w:t>
      </w:r>
    </w:p>
    <w:p>
      <w:pPr>
        <w:widowControl/>
        <w:spacing w:line="500" w:lineRule="exact"/>
        <w:ind w:firstLine="562" w:firstLineChars="200"/>
        <w:jc w:val="left"/>
        <w:rPr>
          <w:rFonts w:ascii="仿宋" w:hAnsi="仿宋" w:eastAsia="仿宋" w:cs="宋体"/>
          <w:kern w:val="0"/>
          <w:sz w:val="28"/>
        </w:rPr>
      </w:pPr>
      <w:r>
        <w:rPr>
          <w:rFonts w:hint="eastAsia" w:ascii="等线" w:hAnsi="等线" w:eastAsia="仿宋" w:cs="仿宋"/>
          <w:b/>
          <w:bCs/>
          <w:sz w:val="28"/>
          <w:szCs w:val="28"/>
        </w:rPr>
        <w:t xml:space="preserve">第十三条  </w:t>
      </w:r>
      <w:r>
        <w:rPr>
          <w:rFonts w:hint="eastAsia" w:ascii="仿宋" w:hAnsi="仿宋" w:eastAsia="仿宋" w:cs="宋体"/>
          <w:kern w:val="0"/>
          <w:sz w:val="28"/>
        </w:rPr>
        <w:t>单列计划及专业说明。根据省教育厅政策规定，单列计划纳入我校单招总计划，且均包含在各相关专业的招生计划内，未录满的计划自动转为普通类计划。</w:t>
      </w:r>
    </w:p>
    <w:p>
      <w:pPr>
        <w:widowControl/>
        <w:spacing w:line="500" w:lineRule="exact"/>
        <w:ind w:firstLine="560" w:firstLineChars="200"/>
        <w:jc w:val="left"/>
        <w:rPr>
          <w:rFonts w:ascii="仿宋" w:hAnsi="仿宋" w:eastAsia="仿宋" w:cs="宋体"/>
          <w:kern w:val="0"/>
          <w:sz w:val="28"/>
        </w:rPr>
      </w:pPr>
      <w:r>
        <w:rPr>
          <w:rFonts w:hint="eastAsia" w:ascii="仿宋" w:hAnsi="仿宋" w:eastAsia="仿宋" w:cs="宋体"/>
          <w:kern w:val="0"/>
          <w:sz w:val="28"/>
        </w:rPr>
        <w:t>1.退役军人计划5</w:t>
      </w:r>
      <w:r>
        <w:rPr>
          <w:rFonts w:hint="eastAsia" w:ascii="等线" w:hAnsi="等线" w:eastAsia="仿宋" w:cs="仿宋"/>
          <w:sz w:val="28"/>
          <w:szCs w:val="28"/>
        </w:rPr>
        <w:t>人，考生</w:t>
      </w:r>
      <w:r>
        <w:rPr>
          <w:rFonts w:hint="eastAsia" w:ascii="仿宋" w:hAnsi="仿宋" w:eastAsia="仿宋" w:cs="宋体"/>
          <w:kern w:val="0"/>
          <w:sz w:val="28"/>
        </w:rPr>
        <w:t>可在上表专业范围内自行选择报考，但每个专业最多录取1人。</w:t>
      </w:r>
    </w:p>
    <w:p>
      <w:pPr>
        <w:spacing w:line="600" w:lineRule="exact"/>
        <w:ind w:firstLine="562" w:firstLineChars="200"/>
        <w:rPr>
          <w:rFonts w:ascii="仿宋" w:hAnsi="仿宋" w:eastAsia="仿宋" w:cs="仿宋"/>
          <w:color w:val="000000"/>
          <w:sz w:val="28"/>
          <w:szCs w:val="28"/>
        </w:rPr>
      </w:pPr>
      <w:r>
        <w:rPr>
          <w:rFonts w:hint="eastAsia" w:ascii="等线" w:hAnsi="等线" w:eastAsia="仿宋" w:cs="宋体"/>
          <w:b/>
          <w:bCs/>
          <w:kern w:val="0"/>
          <w:sz w:val="28"/>
        </w:rPr>
        <w:t>第十四条</w:t>
      </w:r>
      <w:r>
        <w:rPr>
          <w:rFonts w:hint="eastAsia" w:ascii="等线" w:hAnsi="等线" w:eastAsia="仿宋" w:cs="宋体"/>
          <w:kern w:val="0"/>
          <w:sz w:val="28"/>
        </w:rPr>
        <w:t xml:space="preserve"> 学校在考试结束后，以实际参考人数为基数，按比例确定各专业不同类别考生的计划数。学校各专业各类别计划确定并公布后，一律不调整和追加。单招未完成的计划转为统招计划使用。</w:t>
      </w:r>
    </w:p>
    <w:p>
      <w:pPr>
        <w:numPr>
          <w:ilvl w:val="0"/>
          <w:numId w:val="2"/>
        </w:numPr>
        <w:spacing w:before="156" w:beforeLines="50" w:after="156" w:afterLines="50" w:line="680" w:lineRule="exact"/>
        <w:jc w:val="center"/>
        <w:rPr>
          <w:rFonts w:ascii="仿宋" w:hAnsi="仿宋" w:eastAsia="仿宋" w:cs="仿宋"/>
          <w:b/>
          <w:bCs/>
          <w:sz w:val="32"/>
          <w:szCs w:val="32"/>
        </w:rPr>
      </w:pPr>
      <w:r>
        <w:rPr>
          <w:rFonts w:hint="eastAsia" w:ascii="仿宋" w:hAnsi="仿宋" w:eastAsia="仿宋" w:cs="仿宋"/>
          <w:b/>
          <w:bCs/>
          <w:sz w:val="32"/>
          <w:szCs w:val="32"/>
        </w:rPr>
        <w:t>单招考试</w:t>
      </w:r>
    </w:p>
    <w:p>
      <w:pPr>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 xml:space="preserve">第十五条 </w:t>
      </w:r>
      <w:r>
        <w:rPr>
          <w:rFonts w:hint="eastAsia" w:ascii="等线" w:hAnsi="等线" w:eastAsia="仿宋" w:cs="仿宋"/>
          <w:sz w:val="28"/>
          <w:szCs w:val="28"/>
        </w:rPr>
        <w:t>学校将本着公平、公正、择优录取的原则，按照国家教育考试相关规定，在省教育厅、省教育考试院的指导和监督下组织单招考试的相关工作。</w:t>
      </w:r>
    </w:p>
    <w:p>
      <w:pPr>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 xml:space="preserve">第十六条 </w:t>
      </w:r>
      <w:r>
        <w:rPr>
          <w:rFonts w:hint="eastAsia" w:ascii="等线" w:hAnsi="等线" w:eastAsia="仿宋" w:cs="仿宋"/>
          <w:sz w:val="28"/>
          <w:szCs w:val="28"/>
        </w:rPr>
        <w:t>参加学校今年单招的考生分为应届普通高中毕业考生（具有2023年普通高中学业水平合格性考试有效成绩）、中职考生和往届普通高中考生及同等学力考生（含普通高中学业水平合格性考试有效成绩不全的应届普通高中考生）、退役军人3个大类。</w:t>
      </w:r>
    </w:p>
    <w:p>
      <w:pPr>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 xml:space="preserve">第十七条 </w:t>
      </w:r>
      <w:r>
        <w:rPr>
          <w:rFonts w:hint="eastAsia" w:ascii="等线" w:hAnsi="等线" w:eastAsia="仿宋" w:cs="仿宋"/>
          <w:sz w:val="28"/>
          <w:szCs w:val="28"/>
        </w:rPr>
        <w:t>按照“文化素质+职业技能”方式，分类组织考试。根据考生的类别，考试按以下方式进行。</w:t>
      </w:r>
    </w:p>
    <w:p>
      <w:pPr>
        <w:spacing w:line="500" w:lineRule="exact"/>
        <w:ind w:firstLine="560" w:firstLineChars="200"/>
        <w:rPr>
          <w:rFonts w:ascii="等线" w:hAnsi="等线" w:eastAsia="仿宋" w:cs="仿宋"/>
          <w:color w:val="EE822F" w:themeColor="accent2"/>
          <w:sz w:val="28"/>
          <w:szCs w:val="28"/>
          <w14:textFill>
            <w14:solidFill>
              <w14:schemeClr w14:val="accent2"/>
            </w14:solidFill>
          </w14:textFill>
        </w:rPr>
      </w:pPr>
      <w:r>
        <w:rPr>
          <w:rFonts w:hint="eastAsia" w:ascii="等线" w:hAnsi="等线" w:eastAsia="仿宋" w:cs="仿宋"/>
          <w:sz w:val="28"/>
          <w:szCs w:val="28"/>
        </w:rPr>
        <w:t>1.第一类：应届普通高中毕业考生。文化素质测试成绩以学生取得的高中学业水平合格性考试语文、数学、外语等科目有效成绩代替。职业技能测试由学校组织，学校分专业组，按照人才培养需要，采取职业技能实操方式进行，重点考察学生的职业适应性。</w:t>
      </w:r>
    </w:p>
    <w:p>
      <w:pPr>
        <w:spacing w:line="500" w:lineRule="exact"/>
        <w:ind w:firstLine="560" w:firstLineChars="200"/>
        <w:rPr>
          <w:rFonts w:ascii="等线" w:hAnsi="等线" w:eastAsia="仿宋" w:cs="仿宋"/>
          <w:color w:val="EE822F" w:themeColor="accent2"/>
          <w:sz w:val="28"/>
          <w:szCs w:val="28"/>
          <w14:textFill>
            <w14:solidFill>
              <w14:schemeClr w14:val="accent2"/>
            </w14:solidFill>
          </w14:textFill>
        </w:rPr>
      </w:pPr>
      <w:r>
        <w:rPr>
          <w:rFonts w:hint="eastAsia" w:ascii="等线" w:hAnsi="等线" w:eastAsia="仿宋" w:cs="仿宋"/>
          <w:sz w:val="28"/>
          <w:szCs w:val="28"/>
        </w:rPr>
        <w:t>2.第二类：中职考生和往届普通高中考生及同等学力考生。文化素质测试由学校依据《中等职业学校公共基础课课程标准》及高中教育阶段语文、数学、英语等有关内容进行命题及考试。职业技能测试由学校组织，学校分专业组，按照人才培养需要，采取职业技能实操等方式进行，重点考察学生的职业技能。</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3.第三类：退役军人考生免予文化素质测试。职业技能测试由学校组织，参照上述第一、二类考生职业技能测试方式，参加学校组织的职业技能测试。</w:t>
      </w:r>
    </w:p>
    <w:p>
      <w:pPr>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第十八条</w:t>
      </w:r>
      <w:r>
        <w:rPr>
          <w:rFonts w:hint="eastAsia" w:ascii="等线" w:hAnsi="等线" w:eastAsia="仿宋" w:cs="仿宋"/>
          <w:sz w:val="28"/>
          <w:szCs w:val="28"/>
        </w:rPr>
        <w:t xml:space="preserve"> 考生的综合成绩为文化素质测试成绩+职业技能测试成绩。上述第一类、第二类考生的高职单招综合成绩（总成绩）满分为600分，第三类考生的综合成绩满分为300分。第一类、第二类考生综合成绩计算方式=文化素质测试成绩+职业技能测试原始成绩（总分为100分）X3，第三类考生的综合成绩计算方式=职业技能测试原始成绩（总分为100分）X3，第一类、第二类考生文化素质测试成绩与职业技能测试成绩录取时占比为3：7。</w:t>
      </w:r>
    </w:p>
    <w:p>
      <w:pPr>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第十九条</w:t>
      </w:r>
      <w:r>
        <w:rPr>
          <w:rFonts w:hint="eastAsia" w:ascii="等线" w:hAnsi="等线" w:eastAsia="仿宋" w:cs="仿宋"/>
          <w:sz w:val="28"/>
          <w:szCs w:val="28"/>
        </w:rPr>
        <w:t xml:space="preserve">  我校针对第二类考生组织的文化素质测试为闭卷笔试方式。我校组织职业技能测试，采取实践操作方式进行。</w:t>
      </w:r>
    </w:p>
    <w:p>
      <w:pPr>
        <w:spacing w:line="500" w:lineRule="exact"/>
        <w:ind w:firstLine="562" w:firstLineChars="200"/>
        <w:rPr>
          <w:rFonts w:ascii="方正小标宋简体" w:hAnsi="方正小标宋简体" w:eastAsia="方正小标宋简体" w:cs="方正小标宋简体"/>
          <w:color w:val="FF0000"/>
          <w:sz w:val="28"/>
          <w:szCs w:val="28"/>
        </w:rPr>
      </w:pPr>
      <w:r>
        <w:rPr>
          <w:rFonts w:hint="eastAsia" w:ascii="等线" w:hAnsi="等线" w:eastAsia="仿宋" w:cs="仿宋"/>
          <w:b/>
          <w:bCs/>
          <w:sz w:val="28"/>
          <w:szCs w:val="28"/>
        </w:rPr>
        <w:t>第二十条</w:t>
      </w:r>
      <w:r>
        <w:rPr>
          <w:rFonts w:hint="eastAsia" w:ascii="等线" w:hAnsi="等线" w:eastAsia="仿宋" w:cs="仿宋"/>
          <w:sz w:val="28"/>
          <w:szCs w:val="28"/>
        </w:rPr>
        <w:t xml:space="preserve">  我校将按照分类考试的原则，对不同专业组的职业技能测试分别进行命题。我校文化素质测试、职业技能测试的有关说明、考试范围等，将在我校官网上进行公布。</w:t>
      </w:r>
    </w:p>
    <w:p>
      <w:pPr>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 xml:space="preserve">第二十一条 </w:t>
      </w:r>
      <w:r>
        <w:rPr>
          <w:rFonts w:hint="eastAsia" w:ascii="等线" w:hAnsi="等线" w:eastAsia="仿宋" w:cs="仿宋"/>
          <w:sz w:val="28"/>
          <w:szCs w:val="28"/>
        </w:rPr>
        <w:t xml:space="preserve"> 符合以下免试条件的考生在单招考试前向学校申请。其中，职业技能特长申请免技能测试的考生，须在2024年3月5日16：00前，通过本人带上身份证原件方式，将相关申请材料（</w:t>
      </w:r>
      <w:r>
        <w:rPr>
          <w:rFonts w:hint="eastAsia" w:ascii="仿宋" w:hAnsi="仿宋" w:eastAsia="仿宋"/>
          <w:sz w:val="28"/>
        </w:rPr>
        <w:t>身份证原件及复印件、相关获奖证书原件及复印件）</w:t>
      </w:r>
      <w:r>
        <w:rPr>
          <w:rFonts w:hint="eastAsia" w:ascii="等线" w:hAnsi="等线" w:eastAsia="仿宋" w:cs="仿宋"/>
          <w:sz w:val="28"/>
          <w:szCs w:val="28"/>
        </w:rPr>
        <w:t>报我校招生就业与创新创业指导处审核（具体地址：博艺楼1017办公室，联系方式：0731-88838967）。。免试直接录取的考生不占用单招计划数，使用我校统招计划，在统招录取前完成录取手续办理，有关审核程序和方法由省教育考试院另行规定。</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1.免试直接录取。根据教育部政策规定，中等职业教育应届毕业生，在校期间在世界技能组织主办的“世界技能大赛（World Skills Competition）”中获奖的中国国家代表队选手可保送至高职院校与获奖赛事相应的专业就读，在校期间获“全国职业院校技能大赛”“中国职业技能大赛”一等奖、二等奖、三等奖或“湖南省职业技能大赛”“湖南省职业院校技能竞赛”一等奖（金牌）的，可免试录取到我校就读。</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2.职业技能特长生免技能测试。在校学习期间获“湖南省职业技能大赛”“湖南省职业院校技能竞赛”二等奖（银牌）、三等奖（铜牌）的中职应届毕业生，报考获奖赛项对口专业可免予职业技能测试。其中获得二等奖（银牌）的学生可按技能测试成绩满分计入综合成绩；获得三等奖（铜牌）的学生可按技能测试成绩满分的80%计入综合成绩，也可选择参加学校组织的技能测试取得测试成绩，取两项成绩的较高分数计入综合成绩。</w:t>
      </w:r>
    </w:p>
    <w:p>
      <w:pPr>
        <w:spacing w:line="500" w:lineRule="exact"/>
        <w:ind w:firstLine="560" w:firstLineChars="200"/>
        <w:rPr>
          <w:rFonts w:ascii="方正小标宋简体" w:hAnsi="方正小标宋简体" w:eastAsia="方正小标宋简体" w:cs="方正小标宋简体"/>
          <w:color w:val="FF0000"/>
          <w:sz w:val="28"/>
          <w:szCs w:val="28"/>
        </w:rPr>
      </w:pPr>
      <w:r>
        <w:rPr>
          <w:rFonts w:hint="eastAsia" w:ascii="等线" w:hAnsi="等线" w:eastAsia="仿宋" w:cs="仿宋"/>
          <w:sz w:val="28"/>
          <w:szCs w:val="28"/>
        </w:rPr>
        <w:t>3.免试考生的录取专业与其获奖赛项对应（考生如需跨专业报考，则不能享受免试政策）。</w:t>
      </w:r>
    </w:p>
    <w:p>
      <w:pPr>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第二十二条</w:t>
      </w:r>
      <w:r>
        <w:rPr>
          <w:rFonts w:hint="eastAsia" w:ascii="等线" w:hAnsi="等线" w:eastAsia="仿宋" w:cs="仿宋"/>
          <w:sz w:val="28"/>
          <w:szCs w:val="28"/>
        </w:rPr>
        <w:t xml:space="preserve"> 学校按一志愿、二志愿分别组织单招考试。第一志愿考试时间为2024年3月16日-17日。若第一志愿生源不足，未完成单招计划，我校将组织第二志愿考试，参考对象为第二志愿报考我校且未被第一志愿学校录取考生，时间为2024年4月13日-14日。各科目的具体考试时间及地点将在我校官网上另行公布。</w:t>
      </w:r>
    </w:p>
    <w:p>
      <w:pPr>
        <w:spacing w:line="500" w:lineRule="exact"/>
        <w:ind w:firstLine="562" w:firstLineChars="200"/>
        <w:rPr>
          <w:rFonts w:ascii="仿宋" w:hAnsi="仿宋" w:eastAsia="仿宋" w:cs="仿宋"/>
          <w:sz w:val="28"/>
          <w:szCs w:val="28"/>
        </w:rPr>
      </w:pPr>
      <w:r>
        <w:rPr>
          <w:rFonts w:hint="eastAsia" w:ascii="等线" w:hAnsi="等线" w:eastAsia="仿宋" w:cs="仿宋"/>
          <w:b/>
          <w:bCs/>
          <w:sz w:val="28"/>
          <w:szCs w:val="28"/>
        </w:rPr>
        <w:t xml:space="preserve">第二十三条 </w:t>
      </w:r>
      <w:r>
        <w:rPr>
          <w:rFonts w:hint="eastAsia" w:ascii="等线" w:hAnsi="等线" w:eastAsia="仿宋" w:cs="仿宋"/>
          <w:sz w:val="28"/>
          <w:szCs w:val="28"/>
        </w:rPr>
        <w:t>根据物价部门统一规定，高职单招的报考费为80元/生。报考我校第</w:t>
      </w:r>
      <w:r>
        <w:rPr>
          <w:rFonts w:hint="eastAsia" w:ascii="仿宋" w:hAnsi="仿宋" w:eastAsia="仿宋" w:cs="仿宋"/>
          <w:sz w:val="28"/>
          <w:szCs w:val="28"/>
        </w:rPr>
        <w:t>一志愿的考生费缴纳时间为</w:t>
      </w:r>
      <w:r>
        <w:rPr>
          <w:rFonts w:hint="eastAsia" w:ascii="等线" w:hAnsi="等线" w:eastAsia="仿宋" w:cs="仿宋"/>
          <w:sz w:val="28"/>
          <w:szCs w:val="28"/>
        </w:rPr>
        <w:t>2024年3月9日下午17:00-12日中午12：00，</w:t>
      </w:r>
      <w:r>
        <w:rPr>
          <w:rFonts w:hint="eastAsia" w:ascii="仿宋" w:hAnsi="仿宋" w:eastAsia="仿宋" w:cs="仿宋"/>
          <w:sz w:val="28"/>
          <w:szCs w:val="28"/>
        </w:rPr>
        <w:t>缴纳方式为微信支付，缴费流程及具体方法详见学院官网。未在规定时间内缴费的，不得参加我校单招考试及录取。缴费成功的考生于</w:t>
      </w:r>
      <w:r>
        <w:rPr>
          <w:rFonts w:hint="eastAsia" w:ascii="仿宋" w:hAnsi="仿宋" w:eastAsia="仿宋" w:cs="仿宋"/>
          <w:b/>
          <w:bCs/>
          <w:sz w:val="28"/>
          <w:szCs w:val="28"/>
        </w:rPr>
        <w:t>2024年</w:t>
      </w:r>
      <w:r>
        <w:rPr>
          <w:rFonts w:hint="eastAsia" w:ascii="等线" w:hAnsi="等线" w:eastAsia="仿宋" w:cs="仿宋"/>
          <w:b/>
          <w:bCs/>
          <w:sz w:val="28"/>
          <w:szCs w:val="28"/>
        </w:rPr>
        <w:t xml:space="preserve"> 3</w:t>
      </w:r>
      <w:r>
        <w:rPr>
          <w:rFonts w:hint="eastAsia" w:ascii="仿宋" w:hAnsi="仿宋" w:eastAsia="仿宋" w:cs="仿宋"/>
          <w:b/>
          <w:bCs/>
          <w:sz w:val="28"/>
          <w:szCs w:val="28"/>
        </w:rPr>
        <w:t>月</w:t>
      </w:r>
      <w:r>
        <w:rPr>
          <w:rFonts w:hint="eastAsia" w:ascii="等线" w:hAnsi="等线" w:eastAsia="仿宋" w:cs="仿宋"/>
          <w:b/>
          <w:bCs/>
          <w:sz w:val="28"/>
          <w:szCs w:val="28"/>
        </w:rPr>
        <w:t xml:space="preserve">14 </w:t>
      </w:r>
      <w:r>
        <w:rPr>
          <w:rFonts w:hint="eastAsia" w:ascii="仿宋" w:hAnsi="仿宋" w:eastAsia="仿宋" w:cs="仿宋"/>
          <w:b/>
          <w:bCs/>
          <w:sz w:val="28"/>
          <w:szCs w:val="28"/>
        </w:rPr>
        <w:t>日-15日</w:t>
      </w:r>
      <w:r>
        <w:rPr>
          <w:rFonts w:hint="eastAsia" w:ascii="仿宋" w:hAnsi="仿宋" w:eastAsia="仿宋" w:cs="仿宋"/>
          <w:sz w:val="28"/>
          <w:szCs w:val="28"/>
        </w:rPr>
        <w:t>登录微信公众号（湖南艺术职业学院公众订阅号）自行打印准考证。第二志愿考生缴费及准考证打印时间学校另行公布。</w:t>
      </w:r>
      <w:r>
        <w:rPr>
          <w:rFonts w:hint="eastAsia" w:ascii="等线" w:hAnsi="等线" w:eastAsia="仿宋" w:cs="仿宋"/>
          <w:sz w:val="28"/>
          <w:szCs w:val="28"/>
        </w:rPr>
        <w:t>缴费咨询电话： 0731-88838965，打印准考证咨询电话：0731-88838967。</w:t>
      </w:r>
      <w:r>
        <w:rPr>
          <w:rFonts w:hint="eastAsia" w:ascii="仿宋" w:hAnsi="仿宋" w:eastAsia="仿宋" w:cs="仿宋"/>
          <w:sz w:val="28"/>
          <w:szCs w:val="28"/>
        </w:rPr>
        <w:t>缴费及</w:t>
      </w:r>
      <w:r>
        <w:rPr>
          <w:rFonts w:hint="eastAsia" w:ascii="等线" w:hAnsi="等线" w:eastAsia="仿宋" w:cs="仿宋"/>
          <w:sz w:val="28"/>
          <w:szCs w:val="28"/>
        </w:rPr>
        <w:t>准考证打印</w:t>
      </w:r>
      <w:r>
        <w:rPr>
          <w:rFonts w:hint="eastAsia" w:ascii="仿宋" w:hAnsi="仿宋" w:eastAsia="仿宋" w:cs="仿宋"/>
          <w:sz w:val="28"/>
          <w:szCs w:val="28"/>
        </w:rPr>
        <w:t>流程详见学校官网（网址www.arthn.com）或微信公众号（湖南艺术职业学院公众订阅号）</w:t>
      </w:r>
      <w:r>
        <w:rPr>
          <w:rFonts w:hint="eastAsia" w:ascii="等线" w:hAnsi="等线" w:eastAsia="仿宋" w:cs="仿宋"/>
          <w:sz w:val="28"/>
          <w:szCs w:val="28"/>
        </w:rPr>
        <w:t>。</w:t>
      </w:r>
    </w:p>
    <w:p>
      <w:pPr>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第二十四条</w:t>
      </w:r>
      <w:r>
        <w:rPr>
          <w:rFonts w:hint="eastAsia" w:ascii="等线" w:hAnsi="等线" w:eastAsia="仿宋" w:cs="仿宋"/>
          <w:sz w:val="28"/>
          <w:szCs w:val="28"/>
        </w:rPr>
        <w:t xml:space="preserve"> 我校单招考试在省教育考试院的指导下，参照国家教育考试规定进行组织。在学校招生工作领导小组的统筹下，教务处、招生就业与创新创业指导处、各二级学院等部门共同组织考务工作。具体由教务处、公共教学部牵头组织文化素质测试命题，各二级学院组织职业技能测试命题，并负责其保密工作；招生就业与创新创业指导处负责按国考要求制定具体的组考方案，根据报考人数合理安排考场并组织有序考试；教务处、公共教学部、各二级学院组织相关专家参照湖南省普通高考评卷及登分工作有关要求，制定科学合理的评判标准，加大信息公开及结果公示力度，确保考试评判工作公正、透明。</w:t>
      </w:r>
    </w:p>
    <w:p>
      <w:pPr>
        <w:numPr>
          <w:ilvl w:val="255"/>
          <w:numId w:val="0"/>
        </w:numPr>
        <w:spacing w:line="500" w:lineRule="exact"/>
        <w:rPr>
          <w:rFonts w:ascii="等线" w:hAnsi="等线" w:eastAsia="仿宋" w:cs="仿宋"/>
          <w:sz w:val="28"/>
          <w:szCs w:val="28"/>
        </w:rPr>
      </w:pPr>
    </w:p>
    <w:p>
      <w:pPr>
        <w:numPr>
          <w:ilvl w:val="0"/>
          <w:numId w:val="2"/>
        </w:numPr>
        <w:spacing w:before="156" w:beforeLines="50" w:after="156" w:afterLines="50" w:line="680" w:lineRule="exact"/>
        <w:jc w:val="center"/>
        <w:rPr>
          <w:rFonts w:ascii="仿宋" w:hAnsi="仿宋" w:eastAsia="仿宋" w:cs="仿宋"/>
          <w:b/>
          <w:bCs/>
          <w:sz w:val="32"/>
          <w:szCs w:val="32"/>
        </w:rPr>
      </w:pPr>
      <w:r>
        <w:rPr>
          <w:rFonts w:hint="eastAsia" w:ascii="仿宋" w:hAnsi="仿宋" w:eastAsia="仿宋" w:cs="仿宋"/>
          <w:b/>
          <w:bCs/>
          <w:sz w:val="32"/>
          <w:szCs w:val="32"/>
        </w:rPr>
        <w:t>单招录取</w:t>
      </w:r>
    </w:p>
    <w:p>
      <w:pPr>
        <w:widowControl/>
        <w:shd w:val="clear" w:color="auto" w:fill="FFFFFF"/>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第二十五条</w:t>
      </w:r>
      <w:r>
        <w:rPr>
          <w:rFonts w:hint="eastAsia" w:ascii="等线" w:hAnsi="等线" w:eastAsia="仿宋" w:cs="仿宋"/>
          <w:sz w:val="28"/>
          <w:szCs w:val="28"/>
        </w:rPr>
        <w:t xml:space="preserve"> 应届普通高中毕业考生（第一类考生）、中职考生和往届普通高中考生及同等学力考生（第二类考生）的类别确定及普通高中学业水平合格性考试成绩的认定以省教育考试院提供的数据为依据。普通高中学业水平合格性考试有效</w:t>
      </w:r>
      <w:r>
        <w:rPr>
          <w:rFonts w:ascii="等线" w:hAnsi="等线" w:eastAsia="仿宋" w:cs="仿宋"/>
          <w:sz w:val="28"/>
          <w:szCs w:val="28"/>
        </w:rPr>
        <w:t>成</w:t>
      </w:r>
      <w:r>
        <w:rPr>
          <w:rFonts w:hint="eastAsia" w:ascii="等线" w:hAnsi="等线" w:eastAsia="仿宋" w:cs="仿宋"/>
          <w:sz w:val="28"/>
          <w:szCs w:val="28"/>
        </w:rPr>
        <w:t>绩不全</w:t>
      </w:r>
      <w:r>
        <w:rPr>
          <w:rFonts w:ascii="等线" w:hAnsi="等线" w:eastAsia="仿宋" w:cs="仿宋"/>
          <w:sz w:val="28"/>
          <w:szCs w:val="28"/>
        </w:rPr>
        <w:t>的</w:t>
      </w:r>
      <w:r>
        <w:rPr>
          <w:rFonts w:hint="eastAsia" w:ascii="等线" w:hAnsi="等线" w:eastAsia="仿宋" w:cs="仿宋"/>
          <w:sz w:val="28"/>
          <w:szCs w:val="28"/>
        </w:rPr>
        <w:t>应届普通高中毕业考生</w:t>
      </w:r>
      <w:r>
        <w:rPr>
          <w:rFonts w:ascii="等线" w:hAnsi="等线" w:eastAsia="仿宋" w:cs="仿宋"/>
          <w:sz w:val="28"/>
          <w:szCs w:val="28"/>
        </w:rPr>
        <w:t>必须按照</w:t>
      </w:r>
      <w:r>
        <w:rPr>
          <w:rFonts w:hint="eastAsia" w:ascii="等线" w:hAnsi="等线" w:eastAsia="仿宋" w:cs="仿宋"/>
          <w:sz w:val="28"/>
          <w:szCs w:val="28"/>
        </w:rPr>
        <w:t>中职考生和往届普通高中考生及同等学力考生</w:t>
      </w:r>
      <w:r>
        <w:rPr>
          <w:rFonts w:ascii="等线" w:hAnsi="等线" w:eastAsia="仿宋" w:cs="仿宋"/>
          <w:sz w:val="28"/>
          <w:szCs w:val="28"/>
        </w:rPr>
        <w:t>的要求</w:t>
      </w:r>
      <w:r>
        <w:rPr>
          <w:rFonts w:hint="eastAsia" w:ascii="等线" w:hAnsi="等线" w:eastAsia="仿宋" w:cs="仿宋"/>
          <w:sz w:val="28"/>
          <w:szCs w:val="28"/>
        </w:rPr>
        <w:t>参加</w:t>
      </w:r>
      <w:r>
        <w:rPr>
          <w:rFonts w:ascii="等线" w:hAnsi="等线" w:eastAsia="仿宋" w:cs="仿宋"/>
          <w:sz w:val="28"/>
          <w:szCs w:val="28"/>
        </w:rPr>
        <w:t>文化</w:t>
      </w:r>
      <w:r>
        <w:rPr>
          <w:rFonts w:hint="eastAsia" w:ascii="等线" w:hAnsi="等线" w:eastAsia="仿宋" w:cs="仿宋"/>
          <w:sz w:val="28"/>
          <w:szCs w:val="28"/>
        </w:rPr>
        <w:t>素质测试及</w:t>
      </w:r>
      <w:r>
        <w:rPr>
          <w:rFonts w:ascii="等线" w:hAnsi="等线" w:eastAsia="仿宋" w:cs="仿宋"/>
          <w:sz w:val="28"/>
          <w:szCs w:val="28"/>
        </w:rPr>
        <w:t>录取。</w:t>
      </w:r>
    </w:p>
    <w:p>
      <w:pPr>
        <w:widowControl/>
        <w:shd w:val="clear" w:color="auto" w:fill="FFFFFF"/>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第二十六条</w:t>
      </w:r>
      <w:r>
        <w:rPr>
          <w:rFonts w:hint="eastAsia" w:ascii="等线" w:hAnsi="等线" w:eastAsia="仿宋" w:cs="仿宋"/>
          <w:sz w:val="28"/>
          <w:szCs w:val="28"/>
        </w:rPr>
        <w:t xml:space="preserve"> 单招录取首先对报考单列计划的考生（第三类考生）进行录取，单列计划只录取第一志愿报考的考生，如有剩余单列计划则转为普通类计划录取第一类、第二类考生。</w:t>
      </w:r>
    </w:p>
    <w:p>
      <w:pPr>
        <w:widowControl/>
        <w:shd w:val="clear" w:color="auto" w:fill="FFFFFF"/>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 xml:space="preserve">第二十七条 </w:t>
      </w:r>
      <w:r>
        <w:rPr>
          <w:rFonts w:hint="eastAsia" w:ascii="等线" w:hAnsi="等线" w:eastAsia="仿宋" w:cs="仿宋"/>
          <w:sz w:val="28"/>
          <w:szCs w:val="28"/>
        </w:rPr>
        <w:t>普通类考生分类别分专业招生计划以实际参考的考生人数为基数，按专业计划数除以该专业参考总人数再乘以各类别参考人数的计算公式，列出各专业第一类考生（具有2023年普通高中学业水平合格性考试有效成绩）、第二类考生（含普通高中学业水平合格性考试有效成绩不全的应届普通高中考生）的实际录取计划数。例如，某专业招生计划共100人，单列计划已录取5人，剩余计划95人录取第一类、第二类学生，如第一类考生、第二类考生一志愿实际参考的人数分别为</w:t>
      </w:r>
      <w:r>
        <w:rPr>
          <w:rFonts w:ascii="等线" w:hAnsi="等线" w:eastAsia="仿宋" w:cs="仿宋"/>
          <w:sz w:val="28"/>
          <w:szCs w:val="28"/>
        </w:rPr>
        <w:t>150</w:t>
      </w:r>
      <w:r>
        <w:rPr>
          <w:rFonts w:hint="eastAsia" w:ascii="等线" w:hAnsi="等线" w:eastAsia="仿宋" w:cs="仿宋"/>
          <w:sz w:val="28"/>
          <w:szCs w:val="28"/>
        </w:rPr>
        <w:t>、</w:t>
      </w:r>
      <w:r>
        <w:rPr>
          <w:rFonts w:ascii="等线" w:hAnsi="等线" w:eastAsia="仿宋" w:cs="仿宋"/>
          <w:sz w:val="28"/>
          <w:szCs w:val="28"/>
        </w:rPr>
        <w:t>50</w:t>
      </w:r>
      <w:r>
        <w:rPr>
          <w:rFonts w:hint="eastAsia" w:ascii="等线" w:hAnsi="等线" w:eastAsia="仿宋" w:cs="仿宋"/>
          <w:sz w:val="28"/>
          <w:szCs w:val="28"/>
        </w:rPr>
        <w:t>人，根据同比例公式计算可得第一类、第二类考生的计划数为71、24人。第一类考生计划数计算公式：95/（150+50）</w:t>
      </w:r>
      <w:r>
        <w:rPr>
          <w:rFonts w:hint="eastAsia" w:ascii="汉仪细圆B5" w:hAnsi="汉仪细圆B5" w:eastAsia="汉仪细圆B5" w:cs="汉仪细圆B5"/>
          <w:sz w:val="28"/>
          <w:szCs w:val="28"/>
        </w:rPr>
        <w:t>×150</w:t>
      </w:r>
      <w:r>
        <w:rPr>
          <w:rFonts w:hint="eastAsia" w:ascii="等线" w:hAnsi="等线" w:eastAsia="仿宋" w:cs="仿宋"/>
          <w:sz w:val="28"/>
          <w:szCs w:val="28"/>
        </w:rPr>
        <w:t>。各类别各专业计划确定后，录取过程中不再调整和追加。</w:t>
      </w:r>
    </w:p>
    <w:p>
      <w:pPr>
        <w:widowControl/>
        <w:shd w:val="clear" w:color="auto" w:fill="FFFFFF"/>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第二十八条</w:t>
      </w:r>
      <w:r>
        <w:rPr>
          <w:rFonts w:hint="eastAsia" w:ascii="等线" w:hAnsi="等线" w:eastAsia="仿宋" w:cs="仿宋"/>
          <w:sz w:val="28"/>
          <w:szCs w:val="28"/>
        </w:rPr>
        <w:t xml:space="preserve"> 单招录取工作按照“学校负责、招办监督”的原则进行。各类别录取时，按照各专业志愿优先的方式进行。各类别按照以下顺序进行。</w:t>
      </w:r>
    </w:p>
    <w:p>
      <w:pPr>
        <w:widowControl/>
        <w:shd w:val="clear" w:color="auto" w:fill="FFFFFF"/>
        <w:spacing w:line="500" w:lineRule="exact"/>
        <w:ind w:firstLine="560" w:firstLineChars="200"/>
        <w:jc w:val="left"/>
        <w:rPr>
          <w:rFonts w:ascii="方正小标宋简体" w:hAnsi="方正小标宋简体" w:eastAsia="方正小标宋简体" w:cs="方正小标宋简体"/>
          <w:color w:val="FF0000"/>
          <w:sz w:val="28"/>
          <w:szCs w:val="28"/>
        </w:rPr>
      </w:pPr>
      <w:r>
        <w:rPr>
          <w:rFonts w:hint="eastAsia" w:ascii="等线" w:hAnsi="等线" w:eastAsia="仿宋" w:cs="仿宋"/>
          <w:sz w:val="28"/>
          <w:szCs w:val="28"/>
        </w:rPr>
        <w:t>1.退役军人考生。按考生所填报专业职业技能测试综合成绩从高分到低分进行录取，录完为止。为避免避免个别专业扎堆报考，造成后续普通类考生计划不足，各专业录取退役军人考生的人数不超过1人。</w:t>
      </w:r>
    </w:p>
    <w:p>
      <w:pPr>
        <w:widowControl/>
        <w:shd w:val="clear" w:color="auto" w:fill="FFFFFF"/>
        <w:spacing w:line="500" w:lineRule="exact"/>
        <w:jc w:val="left"/>
        <w:rPr>
          <w:rFonts w:ascii="等线" w:hAnsi="等线" w:eastAsia="仿宋" w:cs="仿宋"/>
          <w:sz w:val="28"/>
          <w:szCs w:val="28"/>
        </w:rPr>
      </w:pPr>
      <w:r>
        <w:rPr>
          <w:rFonts w:hint="eastAsia" w:ascii="等线" w:hAnsi="等线" w:eastAsia="仿宋" w:cs="仿宋"/>
          <w:sz w:val="28"/>
          <w:szCs w:val="28"/>
        </w:rPr>
        <w:t xml:space="preserve">    2.普通类考生。根据各专业分类别招生计划数，依据考生所填报专业按综合成绩从高分到低分进行录取，录满为止。如遇生源不足，则对该专业所对应专业组内未录取且服从调剂的考生按综合成绩从高分到低分进行调剂录取。</w:t>
      </w:r>
    </w:p>
    <w:p>
      <w:pPr>
        <w:widowControl/>
        <w:shd w:val="clear" w:color="auto" w:fill="FFFFFF"/>
        <w:spacing w:line="500" w:lineRule="exact"/>
        <w:ind w:firstLine="562" w:firstLineChars="200"/>
        <w:jc w:val="left"/>
        <w:rPr>
          <w:rFonts w:ascii="仿宋" w:hAnsi="仿宋" w:eastAsia="仿宋" w:cs="仿宋"/>
          <w:sz w:val="28"/>
        </w:rPr>
      </w:pPr>
      <w:r>
        <w:rPr>
          <w:rFonts w:hint="eastAsia" w:ascii="等线" w:hAnsi="等线" w:eastAsia="仿宋" w:cs="仿宋"/>
          <w:b/>
          <w:bCs/>
          <w:sz w:val="28"/>
          <w:szCs w:val="28"/>
        </w:rPr>
        <w:t>第二十九条</w:t>
      </w:r>
      <w:r>
        <w:rPr>
          <w:rFonts w:hint="eastAsia" w:ascii="等线" w:hAnsi="等线" w:eastAsia="仿宋" w:cs="仿宋"/>
          <w:sz w:val="28"/>
          <w:szCs w:val="28"/>
        </w:rPr>
        <w:t xml:space="preserve"> 对于末位同分的考生，依据以下排序原则进行录取。第一、第二类考生同分排序规则为：</w:t>
      </w:r>
      <w:r>
        <w:rPr>
          <w:rFonts w:hint="eastAsia" w:ascii="仿宋" w:hAnsi="仿宋" w:eastAsia="仿宋" w:cs="仿宋"/>
          <w:sz w:val="28"/>
        </w:rPr>
        <w:t>按照职业技能测试从高到低排序录取；如职业技能成绩仍然相同，则依次按照考生学业水平测试或文化素质测试的语文、数学、英语单科成绩从高到低排序录取。第三类考生同分排序规则为：加试职业技能测试方式，按加试成绩从高到低排序录取。</w:t>
      </w:r>
    </w:p>
    <w:p>
      <w:pPr>
        <w:widowControl/>
        <w:shd w:val="clear" w:color="auto" w:fill="FFFFFF"/>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 xml:space="preserve">第三十条 </w:t>
      </w:r>
      <w:r>
        <w:rPr>
          <w:rFonts w:hint="eastAsia" w:ascii="等线" w:hAnsi="等线" w:eastAsia="仿宋" w:cs="仿宋"/>
          <w:sz w:val="28"/>
          <w:szCs w:val="28"/>
        </w:rPr>
        <w:t>为保障生源质量，我校提前确定录取合格标准，未合格的不予录取。合格标准是：职业技能测试成绩原始成绩60分以上。</w:t>
      </w:r>
    </w:p>
    <w:p>
      <w:pPr>
        <w:widowControl/>
        <w:shd w:val="clear" w:color="auto" w:fill="FFFFFF"/>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 xml:space="preserve">第三十一条 </w:t>
      </w:r>
      <w:r>
        <w:rPr>
          <w:rFonts w:hint="eastAsia" w:ascii="等线" w:hAnsi="等线" w:eastAsia="仿宋" w:cs="仿宋"/>
          <w:sz w:val="28"/>
          <w:szCs w:val="28"/>
        </w:rPr>
        <w:t>我校将通过官网（http://www.arthn.com）和微信公众号（湖南艺术职业学院公众订阅号）发布单招拟录取名单，拟录取考生需在我校规定时间内办理相关录取确认手续。</w:t>
      </w:r>
    </w:p>
    <w:p>
      <w:pPr>
        <w:widowControl/>
        <w:shd w:val="clear" w:color="auto" w:fill="FFFFFF"/>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第三十二条</w:t>
      </w:r>
      <w:r>
        <w:rPr>
          <w:rFonts w:hint="eastAsia" w:ascii="等线" w:hAnsi="等线" w:eastAsia="仿宋" w:cs="仿宋"/>
          <w:sz w:val="28"/>
          <w:szCs w:val="28"/>
        </w:rPr>
        <w:t xml:space="preserve"> 单招录取的学生不得参加本年度统一高考和普通高校对口招生考试。单招录取的学生不得转学，特殊情况需转专业的，按照我校教务处转专业规定执行。</w:t>
      </w:r>
    </w:p>
    <w:p>
      <w:pPr>
        <w:widowControl/>
        <w:shd w:val="clear" w:color="auto" w:fill="FFFFFF"/>
        <w:spacing w:line="500" w:lineRule="exact"/>
        <w:ind w:firstLine="562" w:firstLineChars="200"/>
        <w:jc w:val="left"/>
        <w:rPr>
          <w:rFonts w:ascii="仿宋" w:hAnsi="仿宋" w:eastAsia="仿宋" w:cs="仿宋"/>
          <w:sz w:val="28"/>
          <w:szCs w:val="28"/>
        </w:rPr>
      </w:pPr>
      <w:r>
        <w:rPr>
          <w:rFonts w:hint="eastAsia" w:ascii="等线" w:hAnsi="等线" w:eastAsia="仿宋" w:cs="仿宋"/>
          <w:b/>
          <w:bCs/>
          <w:sz w:val="28"/>
          <w:szCs w:val="28"/>
        </w:rPr>
        <w:t xml:space="preserve">第三十三条 </w:t>
      </w:r>
      <w:r>
        <w:rPr>
          <w:rFonts w:hint="eastAsia" w:ascii="等线" w:hAnsi="等线" w:eastAsia="仿宋" w:cs="仿宋"/>
          <w:sz w:val="28"/>
          <w:szCs w:val="28"/>
        </w:rPr>
        <w:t>单招第一志愿录取结束后，如有剩余专业计划，我校将向社会公布有缺额的专业及计划数，并组织第二志愿报考我校且未被第一志愿录取考生举行考试。第二志愿考试要求及录取规则等与第一志愿的相关规定一致。</w:t>
      </w:r>
    </w:p>
    <w:p>
      <w:pPr>
        <w:numPr>
          <w:ilvl w:val="0"/>
          <w:numId w:val="2"/>
        </w:numPr>
        <w:spacing w:before="156" w:beforeLines="50" w:after="156" w:afterLines="50" w:line="680" w:lineRule="exact"/>
        <w:jc w:val="center"/>
        <w:rPr>
          <w:rFonts w:ascii="仿宋" w:hAnsi="仿宋" w:eastAsia="仿宋" w:cs="仿宋"/>
          <w:b/>
          <w:bCs/>
          <w:sz w:val="32"/>
          <w:szCs w:val="32"/>
        </w:rPr>
      </w:pPr>
      <w:r>
        <w:rPr>
          <w:rFonts w:hint="eastAsia" w:ascii="仿宋" w:hAnsi="仿宋" w:eastAsia="仿宋" w:cs="仿宋"/>
          <w:b/>
          <w:bCs/>
          <w:sz w:val="32"/>
          <w:szCs w:val="32"/>
        </w:rPr>
        <w:t>监督管理</w:t>
      </w:r>
    </w:p>
    <w:p>
      <w:pPr>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 xml:space="preserve">第三十四条 </w:t>
      </w:r>
      <w:r>
        <w:rPr>
          <w:rFonts w:hint="eastAsia" w:ascii="等线" w:hAnsi="等线" w:eastAsia="仿宋" w:cs="仿宋"/>
          <w:sz w:val="28"/>
          <w:szCs w:val="28"/>
        </w:rPr>
        <w:t>单招考试及录取结束后，学校按照要求及时将考试结果及拟录取考生情况在学校官网公示。</w:t>
      </w:r>
    </w:p>
    <w:p>
      <w:pPr>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 xml:space="preserve">第三十五条 </w:t>
      </w:r>
      <w:r>
        <w:rPr>
          <w:rFonts w:hint="eastAsia" w:ascii="等线" w:hAnsi="等线" w:eastAsia="仿宋" w:cs="仿宋"/>
          <w:sz w:val="28"/>
          <w:szCs w:val="28"/>
        </w:rPr>
        <w:t>单招期间，确保规范有序、公平公正，在学校纪检监察处全程监督检查下进行单招考试、录取等工作。</w:t>
      </w:r>
    </w:p>
    <w:p>
      <w:pPr>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 xml:space="preserve">第三十六条 </w:t>
      </w:r>
      <w:r>
        <w:rPr>
          <w:rFonts w:hint="eastAsia" w:ascii="等线" w:hAnsi="等线" w:eastAsia="仿宋" w:cs="仿宋"/>
          <w:sz w:val="28"/>
          <w:szCs w:val="28"/>
        </w:rPr>
        <w:t>学校单招工作严格执行教育部和省教育厅政策规定和纪律要求，没有举办所谓的考前“辅导班”“培训班”，没有与任何社会机构及人员进行单招合作。凡是有社会机构和个人宣传与我校有合作、可以通过“内部指标”方式确保考生录取的，考生可第一时间向教育主管部门反映，遭受相关损失的可向公安机关反映。</w:t>
      </w:r>
    </w:p>
    <w:p>
      <w:pPr>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 xml:space="preserve">第三十七条 </w:t>
      </w:r>
      <w:r>
        <w:rPr>
          <w:rFonts w:hint="eastAsia" w:ascii="等线" w:hAnsi="等线" w:eastAsia="仿宋" w:cs="仿宋"/>
          <w:sz w:val="28"/>
          <w:szCs w:val="28"/>
        </w:rPr>
        <w:t>我校将严格执行招生政策和招生纪律，对于在单招中违规的考生及工作人员，按《国家教育考试违规处理办法》（教育部令33号）和《普通高等学校招生违规行为处理暂行办法》（教育部令36号）所确定的程序和规定进行处理。欢迎考生、家长及社会对我校单招工作进行监督，投诉举报电话：0731-88851186。</w:t>
      </w:r>
    </w:p>
    <w:p>
      <w:pPr>
        <w:numPr>
          <w:ilvl w:val="0"/>
          <w:numId w:val="2"/>
        </w:numPr>
        <w:spacing w:before="156" w:beforeLines="50" w:after="156" w:afterLines="50" w:line="680" w:lineRule="exact"/>
        <w:jc w:val="center"/>
        <w:rPr>
          <w:rFonts w:ascii="仿宋" w:hAnsi="仿宋" w:eastAsia="仿宋" w:cs="仿宋"/>
          <w:b/>
          <w:bCs/>
          <w:sz w:val="32"/>
          <w:szCs w:val="32"/>
        </w:rPr>
      </w:pPr>
      <w:r>
        <w:rPr>
          <w:rFonts w:hint="eastAsia" w:ascii="仿宋" w:hAnsi="仿宋" w:eastAsia="仿宋" w:cs="仿宋"/>
          <w:b/>
          <w:bCs/>
          <w:sz w:val="32"/>
          <w:szCs w:val="32"/>
        </w:rPr>
        <w:t>附则</w:t>
      </w:r>
    </w:p>
    <w:p>
      <w:pPr>
        <w:pStyle w:val="2"/>
        <w:shd w:val="clear" w:color="auto" w:fill="FFFFFF"/>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第三十八条</w:t>
      </w:r>
      <w:r>
        <w:rPr>
          <w:rFonts w:hint="eastAsia" w:ascii="等线" w:hAnsi="等线" w:eastAsia="仿宋" w:cs="仿宋"/>
          <w:sz w:val="28"/>
          <w:szCs w:val="28"/>
        </w:rPr>
        <w:t xml:space="preserve"> 学校对新生入学设有“绿色通道”。家庭经济特别困难的新生，可持乡（镇）以上人民政府证明向学校学生工作处申请办理学费缓交手续，并可根据国家有关规定申请国家助学贷款。</w:t>
      </w:r>
    </w:p>
    <w:p>
      <w:pPr>
        <w:shd w:val="clear" w:color="auto" w:fill="FFFFFF"/>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 xml:space="preserve">第三十九条 </w:t>
      </w:r>
      <w:r>
        <w:rPr>
          <w:rFonts w:hint="eastAsia" w:ascii="等线" w:hAnsi="等线" w:eastAsia="仿宋" w:cs="仿宋"/>
          <w:sz w:val="28"/>
          <w:szCs w:val="28"/>
        </w:rPr>
        <w:t>录取考生的体检标准按照教育部、卫生部、中国残疾人联合会颁布的《普通高等学校招生体检工作指导意见》及有关补充规定执行。</w:t>
      </w:r>
    </w:p>
    <w:p>
      <w:pPr>
        <w:shd w:val="clear" w:color="auto" w:fill="FFFFFF"/>
        <w:spacing w:line="500" w:lineRule="exact"/>
        <w:ind w:firstLine="562" w:firstLineChars="200"/>
        <w:rPr>
          <w:rFonts w:ascii="等线" w:hAnsi="等线" w:eastAsia="仿宋" w:cs="仿宋"/>
          <w:b/>
          <w:bCs/>
          <w:sz w:val="32"/>
          <w:szCs w:val="32"/>
        </w:rPr>
      </w:pPr>
      <w:r>
        <w:rPr>
          <w:rFonts w:hint="eastAsia" w:ascii="等线" w:hAnsi="等线" w:eastAsia="仿宋" w:cs="仿宋"/>
          <w:b/>
          <w:bCs/>
          <w:sz w:val="28"/>
          <w:szCs w:val="28"/>
        </w:rPr>
        <w:t xml:space="preserve">第四十条 </w:t>
      </w:r>
      <w:r>
        <w:rPr>
          <w:rFonts w:hint="eastAsia" w:ascii="等线" w:hAnsi="等线" w:eastAsia="仿宋" w:cs="仿宋"/>
          <w:sz w:val="28"/>
          <w:szCs w:val="28"/>
        </w:rPr>
        <w:t>录取考生的思想政治品德考核和身体健康状况检查均采用考生报考普通高校招生考试或对口招生考试时所采集的信息，学生对提供的信息真实性负责。</w:t>
      </w:r>
    </w:p>
    <w:p>
      <w:pPr>
        <w:shd w:val="clear" w:color="auto" w:fill="FFFFFF"/>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第四十一条</w:t>
      </w:r>
      <w:r>
        <w:rPr>
          <w:rFonts w:hint="eastAsia" w:ascii="等线" w:hAnsi="等线" w:eastAsia="仿宋" w:cs="仿宋"/>
          <w:sz w:val="28"/>
          <w:szCs w:val="28"/>
        </w:rPr>
        <w:t xml:space="preserve"> 新生入学后3个月内，学校按照招生政策规定对新生报名资格、身心状况、录取手续及程序、录取资格、优惠资格及相关证明材料等进行复查复核。对复查复核发现的问题，学校将集中研究处理，凡属弄虚作假者，一经查实，取消其入学资格。对于弄虚作假情节严重或涉嫌冒名顶替上大学的，移送相关部门调查处理。</w:t>
      </w:r>
    </w:p>
    <w:p>
      <w:pPr>
        <w:shd w:val="clear" w:color="auto" w:fill="FFFFFF"/>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第四十二条</w:t>
      </w:r>
      <w:r>
        <w:rPr>
          <w:rFonts w:hint="eastAsia" w:ascii="等线" w:hAnsi="等线" w:eastAsia="仿宋" w:cs="仿宋"/>
          <w:sz w:val="28"/>
          <w:szCs w:val="28"/>
        </w:rPr>
        <w:t xml:space="preserve"> 本章程通过湖南省教育考试院和学院官网向社会发布，对于各种媒体节选公布的章程内容，如理解有误，以学校公布的完整单独招生章程为准。</w:t>
      </w:r>
    </w:p>
    <w:p>
      <w:pPr>
        <w:pStyle w:val="2"/>
        <w:ind w:firstLine="562" w:firstLineChars="200"/>
        <w:rPr>
          <w:rFonts w:ascii="等线" w:hAnsi="等线" w:eastAsia="仿宋" w:cs="仿宋"/>
          <w:sz w:val="28"/>
          <w:szCs w:val="28"/>
        </w:rPr>
      </w:pPr>
      <w:r>
        <w:rPr>
          <w:rFonts w:hint="eastAsia" w:ascii="等线" w:hAnsi="等线" w:eastAsia="仿宋" w:cs="仿宋"/>
          <w:b/>
          <w:bCs/>
          <w:sz w:val="28"/>
          <w:szCs w:val="28"/>
        </w:rPr>
        <w:t xml:space="preserve">第四十三条 </w:t>
      </w:r>
      <w:r>
        <w:rPr>
          <w:rFonts w:hint="eastAsia" w:ascii="等线" w:hAnsi="等线" w:eastAsia="仿宋" w:cs="仿宋"/>
          <w:sz w:val="28"/>
          <w:szCs w:val="28"/>
        </w:rPr>
        <w:t>学校招生联系方式</w:t>
      </w:r>
    </w:p>
    <w:p>
      <w:pPr>
        <w:pStyle w:val="2"/>
        <w:ind w:firstLine="560" w:firstLineChars="200"/>
        <w:rPr>
          <w:rFonts w:ascii="等线" w:hAnsi="等线" w:eastAsia="仿宋" w:cs="仿宋"/>
          <w:sz w:val="28"/>
          <w:szCs w:val="28"/>
        </w:rPr>
      </w:pPr>
      <w:r>
        <w:rPr>
          <w:rFonts w:hint="eastAsia" w:ascii="等线" w:hAnsi="等线" w:eastAsia="仿宋" w:cs="仿宋"/>
          <w:sz w:val="28"/>
          <w:szCs w:val="28"/>
        </w:rPr>
        <w:t xml:space="preserve">通信地址：长沙县星沙街道特立东路719号湖南艺术职业学院  </w:t>
      </w:r>
    </w:p>
    <w:p>
      <w:pPr>
        <w:pStyle w:val="2"/>
        <w:ind w:firstLine="560" w:firstLineChars="200"/>
        <w:rPr>
          <w:rFonts w:ascii="等线" w:hAnsi="等线" w:eastAsia="仿宋" w:cs="仿宋"/>
          <w:sz w:val="28"/>
          <w:szCs w:val="28"/>
        </w:rPr>
      </w:pPr>
      <w:r>
        <w:rPr>
          <w:rFonts w:hint="eastAsia" w:ascii="等线" w:hAnsi="等线" w:eastAsia="仿宋" w:cs="仿宋"/>
          <w:sz w:val="28"/>
          <w:szCs w:val="28"/>
        </w:rPr>
        <w:t xml:space="preserve">邮政编码：410100                                 </w:t>
      </w:r>
    </w:p>
    <w:p>
      <w:pPr>
        <w:pStyle w:val="2"/>
        <w:ind w:firstLine="560" w:firstLineChars="200"/>
        <w:rPr>
          <w:rFonts w:ascii="等线" w:hAnsi="等线" w:eastAsia="仿宋" w:cs="仿宋"/>
          <w:sz w:val="28"/>
          <w:szCs w:val="28"/>
        </w:rPr>
      </w:pPr>
      <w:r>
        <w:rPr>
          <w:rFonts w:hint="eastAsia" w:ascii="等线" w:hAnsi="等线" w:eastAsia="仿宋" w:cs="仿宋"/>
          <w:sz w:val="28"/>
          <w:szCs w:val="28"/>
        </w:rPr>
        <w:t xml:space="preserve">招生咨询电话：0731-88838967           </w:t>
      </w:r>
    </w:p>
    <w:p>
      <w:pPr>
        <w:pStyle w:val="2"/>
        <w:ind w:firstLine="560" w:firstLineChars="200"/>
        <w:rPr>
          <w:rFonts w:ascii="等线" w:hAnsi="等线" w:eastAsia="仿宋" w:cs="仿宋"/>
          <w:sz w:val="28"/>
          <w:szCs w:val="28"/>
        </w:rPr>
      </w:pPr>
      <w:r>
        <w:rPr>
          <w:rFonts w:hint="eastAsia" w:ascii="等线" w:hAnsi="等线" w:eastAsia="仿宋" w:cs="仿宋"/>
          <w:sz w:val="28"/>
          <w:szCs w:val="28"/>
        </w:rPr>
        <w:t xml:space="preserve">招生咨询邮箱： hy88838967@163.com                         </w:t>
      </w:r>
    </w:p>
    <w:p>
      <w:pPr>
        <w:pStyle w:val="2"/>
        <w:ind w:firstLine="560" w:firstLineChars="200"/>
        <w:rPr>
          <w:rFonts w:ascii="等线" w:hAnsi="等线" w:eastAsia="仿宋" w:cs="仿宋"/>
          <w:sz w:val="28"/>
          <w:szCs w:val="28"/>
        </w:rPr>
      </w:pPr>
      <w:r>
        <w:rPr>
          <w:rFonts w:hint="eastAsia" w:ascii="等线" w:hAnsi="等线" w:eastAsia="仿宋" w:cs="仿宋"/>
          <w:sz w:val="28"/>
          <w:szCs w:val="28"/>
        </w:rPr>
        <w:t xml:space="preserve">招生信息发布网址：www.arthn.com       </w:t>
      </w:r>
    </w:p>
    <w:p>
      <w:pPr>
        <w:pStyle w:val="10"/>
        <w:shd w:val="clear" w:color="auto" w:fill="FFFFFF"/>
        <w:spacing w:before="0" w:beforeAutospacing="0" w:after="0" w:afterAutospacing="0" w:line="500" w:lineRule="exact"/>
        <w:ind w:firstLine="560" w:firstLineChars="200"/>
        <w:rPr>
          <w:rFonts w:ascii="等线" w:hAnsi="等线" w:eastAsia="仿宋" w:cs="仿宋"/>
          <w:kern w:val="2"/>
          <w:sz w:val="28"/>
          <w:szCs w:val="28"/>
        </w:rPr>
      </w:pPr>
      <w:r>
        <w:rPr>
          <w:rFonts w:hint="eastAsia" w:ascii="等线" w:hAnsi="等线" w:eastAsia="仿宋" w:cs="仿宋"/>
          <w:kern w:val="2"/>
          <w:sz w:val="28"/>
          <w:szCs w:val="28"/>
        </w:rPr>
        <w:t xml:space="preserve">监督投诉电话：0731-88851186            </w:t>
      </w:r>
    </w:p>
    <w:p>
      <w:pPr>
        <w:shd w:val="clear" w:color="auto" w:fill="FFFFFF"/>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 xml:space="preserve">第四十五条 </w:t>
      </w:r>
      <w:r>
        <w:rPr>
          <w:rFonts w:hint="eastAsia" w:ascii="等线" w:hAnsi="等线" w:eastAsia="仿宋" w:cs="仿宋"/>
          <w:sz w:val="28"/>
          <w:szCs w:val="28"/>
        </w:rPr>
        <w:t>本章程适用于我校2024年湖南省单招。其解释权属于湖南艺术职业学院。</w:t>
      </w:r>
      <w:r>
        <w:rPr>
          <w:rFonts w:hint="eastAsia" w:ascii="等线" w:hAnsi="等线" w:eastAsia="仿宋" w:cs="仿宋"/>
          <w:sz w:val="28"/>
          <w:szCs w:val="28"/>
          <w:shd w:val="clear" w:color="auto" w:fill="FFFFFF"/>
        </w:rPr>
        <w:t>如遇教育部、湖南省教育厅相关招生政策调整，以公布的最新政策为准。</w:t>
      </w:r>
    </w:p>
    <w:p/>
    <w:p>
      <w:bookmarkStart w:id="0" w:name="_GoBack"/>
      <w:bookmarkEnd w:id="0"/>
    </w:p>
    <w:sectPr>
      <w:headerReference r:id="rId3" w:type="default"/>
      <w:footerReference r:id="rId4"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00000001" w:usb1="08000000" w:usb2="00000000" w:usb3="00000000" w:csb0="00040000" w:csb1="00000000"/>
  </w:font>
  <w:font w:name="汉仪细圆B5">
    <w:altName w:val="仿宋"/>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14</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C13600"/>
    <w:multiLevelType w:val="singleLevel"/>
    <w:tmpl w:val="DEC13600"/>
    <w:lvl w:ilvl="0" w:tentative="0">
      <w:start w:val="1"/>
      <w:numFmt w:val="chineseCounting"/>
      <w:suff w:val="space"/>
      <w:lvlText w:val="第%1章"/>
      <w:lvlJc w:val="left"/>
      <w:rPr>
        <w:rFonts w:hint="eastAsia"/>
      </w:rPr>
    </w:lvl>
  </w:abstractNum>
  <w:abstractNum w:abstractNumId="1">
    <w:nsid w:val="E382D66B"/>
    <w:multiLevelType w:val="singleLevel"/>
    <w:tmpl w:val="E382D66B"/>
    <w:lvl w:ilvl="0" w:tentative="0">
      <w:start w:val="1"/>
      <w:numFmt w:val="chineseCounting"/>
      <w:suff w:val="space"/>
      <w:lvlText w:val="第%1条"/>
      <w:lvlJc w:val="left"/>
      <w:rPr>
        <w:rFonts w:hint="eastAsia"/>
        <w:b/>
        <w:lang w:val="en-US"/>
      </w:rPr>
    </w:lvl>
  </w:abstractNum>
  <w:abstractNum w:abstractNumId="2">
    <w:nsid w:val="14F495C5"/>
    <w:multiLevelType w:val="singleLevel"/>
    <w:tmpl w:val="14F495C5"/>
    <w:lvl w:ilvl="0" w:tentative="0">
      <w:start w:val="12"/>
      <w:numFmt w:val="chineseCounting"/>
      <w:suff w:val="space"/>
      <w:lvlText w:val="第%1条"/>
      <w:lvlJc w:val="left"/>
      <w:rPr>
        <w:rFonts w:hint="eastAsia"/>
        <w:b/>
        <w:bCs/>
      </w:rPr>
    </w:lvl>
  </w:abstractNum>
  <w:abstractNum w:abstractNumId="3">
    <w:nsid w:val="1FC91163"/>
    <w:multiLevelType w:val="multilevel"/>
    <w:tmpl w:val="1FC91163"/>
    <w:lvl w:ilvl="0" w:tentative="0">
      <w:start w:val="1"/>
      <w:numFmt w:val="decimal"/>
      <w:pStyle w:val="5"/>
      <w:suff w:val="nothing"/>
      <w:lvlText w:val="%1　"/>
      <w:lvlJc w:val="left"/>
      <w:pPr>
        <w:ind w:left="284"/>
      </w:pPr>
      <w:rPr>
        <w:rFonts w:hint="eastAsia" w:ascii="黑体" w:hAnsi="Times New Roman" w:eastAsia="黑体" w:cs="Times New Roman"/>
        <w:b w:val="0"/>
        <w:bCs w:val="0"/>
        <w:i w:val="0"/>
        <w:iCs w:val="0"/>
        <w:sz w:val="21"/>
        <w:szCs w:val="21"/>
      </w:rPr>
    </w:lvl>
    <w:lvl w:ilvl="1" w:tentative="0">
      <w:start w:val="1"/>
      <w:numFmt w:val="decimal"/>
      <w:pStyle w:val="4"/>
      <w:suff w:val="nothing"/>
      <w:lvlText w:val="%1.%2　"/>
      <w:lvlJc w:val="left"/>
      <w:pPr>
        <w:ind w:left="71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1702"/>
      </w:pPr>
      <w:rPr>
        <w:rFonts w:hint="eastAsia" w:ascii="黑体" w:hAnsi="Times New Roman" w:eastAsia="黑体" w:cs="Times New Roman"/>
        <w:b w:val="0"/>
        <w:bCs w:val="0"/>
        <w:i w:val="0"/>
        <w:iCs w:val="0"/>
        <w:sz w:val="21"/>
        <w:szCs w:val="21"/>
      </w:rPr>
    </w:lvl>
    <w:lvl w:ilvl="3" w:tentative="0">
      <w:start w:val="1"/>
      <w:numFmt w:val="decimal"/>
      <w:suff w:val="nothing"/>
      <w:lvlText w:val="%1.%2.%3.%4　"/>
      <w:lvlJc w:val="left"/>
      <w:pPr>
        <w:ind w:left="993"/>
      </w:pPr>
      <w:rPr>
        <w:rFonts w:hint="eastAsia" w:ascii="黑体" w:hAnsi="Times New Roman" w:eastAsia="黑体" w:cs="Times New Roman"/>
        <w:b w:val="0"/>
        <w:bCs w:val="0"/>
        <w:i w:val="0"/>
        <w:iCs w:val="0"/>
        <w:sz w:val="21"/>
        <w:szCs w:val="21"/>
      </w:rPr>
    </w:lvl>
    <w:lvl w:ilvl="4" w:tentative="0">
      <w:start w:val="1"/>
      <w:numFmt w:val="decimal"/>
      <w:suff w:val="nothing"/>
      <w:lvlText w:val="%1.%2.%3.%4.%5　"/>
      <w:lvlJc w:val="left"/>
      <w:pPr>
        <w:ind w:left="710"/>
      </w:pPr>
      <w:rPr>
        <w:rFonts w:hint="eastAsia" w:ascii="黑体" w:hAnsi="Times New Roman" w:eastAsia="黑体" w:cs="Times New Roman"/>
        <w:b w:val="0"/>
        <w:bCs w:val="0"/>
        <w:i w:val="0"/>
        <w:iCs w:val="0"/>
        <w:sz w:val="21"/>
        <w:szCs w:val="21"/>
      </w:rPr>
    </w:lvl>
    <w:lvl w:ilvl="5" w:tentative="0">
      <w:start w:val="1"/>
      <w:numFmt w:val="decimal"/>
      <w:suff w:val="nothing"/>
      <w:lvlText w:val="%1.%2.%3.%4.%5.%6　"/>
      <w:lvlJc w:val="left"/>
      <w:rPr>
        <w:rFonts w:hint="eastAsia" w:ascii="黑体" w:hAnsi="Times New Roman" w:eastAsia="黑体" w:cs="Times New Roman"/>
        <w:b w:val="0"/>
        <w:bCs w:val="0"/>
        <w:i w:val="0"/>
        <w:iCs w:val="0"/>
        <w:sz w:val="21"/>
        <w:szCs w:val="21"/>
      </w:rPr>
    </w:lvl>
    <w:lvl w:ilvl="6" w:tentative="0">
      <w:start w:val="1"/>
      <w:numFmt w:val="decimal"/>
      <w:suff w:val="nothing"/>
      <w:lvlText w:val="%1%2.%3.%4.%5.%6.%7　"/>
      <w:lvlJc w:val="left"/>
      <w:rPr>
        <w:rFonts w:hint="eastAsia" w:ascii="黑体" w:hAnsi="Times New Roman" w:eastAsia="黑体" w:cs="Times New Roman"/>
        <w:b w:val="0"/>
        <w:bCs w:val="0"/>
        <w:i w:val="0"/>
        <w:iCs w:val="0"/>
        <w:sz w:val="21"/>
        <w:szCs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0NjI1YjJkY2E1YWViZjMxMzM4NjJhM2M4ZjVhOGYifQ=="/>
  </w:docVars>
  <w:rsids>
    <w:rsidRoot w:val="00000000"/>
    <w:rsid w:val="0BF2295E"/>
    <w:rsid w:val="12EE6F9A"/>
    <w:rsid w:val="20810EBF"/>
    <w:rsid w:val="22721ADD"/>
    <w:rsid w:val="23901622"/>
    <w:rsid w:val="2486678D"/>
    <w:rsid w:val="25000118"/>
    <w:rsid w:val="285F2A85"/>
    <w:rsid w:val="370269CE"/>
    <w:rsid w:val="47DE682B"/>
    <w:rsid w:val="61D03584"/>
    <w:rsid w:val="6B3F632F"/>
    <w:rsid w:val="706E32EC"/>
    <w:rsid w:val="78EF0377"/>
    <w:rsid w:val="7E1A5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firstLine="680"/>
    </w:pPr>
    <w:rPr>
      <w:rFonts w:ascii="Calibri" w:hAnsi="Calibri" w:eastAsia="宋体" w:cs="Times New Roman"/>
    </w:rPr>
  </w:style>
  <w:style w:type="paragraph" w:styleId="3">
    <w:name w:val="Body Text"/>
    <w:basedOn w:val="1"/>
    <w:next w:val="4"/>
    <w:autoRedefine/>
    <w:qFormat/>
    <w:uiPriority w:val="1"/>
    <w:pPr>
      <w:spacing w:before="5"/>
      <w:ind w:left="138"/>
    </w:pPr>
    <w:rPr>
      <w:rFonts w:ascii="宋体" w:hAnsi="宋体" w:cs="宋体"/>
      <w:sz w:val="32"/>
      <w:szCs w:val="32"/>
      <w:lang w:val="zh-CN" w:bidi="zh-CN"/>
    </w:rPr>
  </w:style>
  <w:style w:type="paragraph" w:customStyle="1" w:styleId="4">
    <w:name w:val="一级条标题"/>
    <w:basedOn w:val="5"/>
    <w:next w:val="6"/>
    <w:autoRedefine/>
    <w:qFormat/>
    <w:uiPriority w:val="0"/>
    <w:pPr>
      <w:numPr>
        <w:ilvl w:val="1"/>
      </w:numPr>
      <w:spacing w:beforeLines="50" w:afterLines="50"/>
      <w:outlineLvl w:val="2"/>
    </w:pPr>
  </w:style>
  <w:style w:type="paragraph" w:customStyle="1" w:styleId="5">
    <w:name w:val="章标题"/>
    <w:next w:val="1"/>
    <w:autoRedefine/>
    <w:qFormat/>
    <w:uiPriority w:val="0"/>
    <w:pPr>
      <w:numPr>
        <w:ilvl w:val="0"/>
        <w:numId w:val="1"/>
      </w:numPr>
      <w:spacing w:beforeLines="100" w:afterLines="100"/>
      <w:jc w:val="both"/>
      <w:outlineLvl w:val="1"/>
    </w:pPr>
    <w:rPr>
      <w:rFonts w:ascii="黑体" w:hAnsi="Times New Roman" w:eastAsia="黑体" w:cs="黑体"/>
      <w:sz w:val="21"/>
      <w:szCs w:val="21"/>
      <w:lang w:val="en-US" w:eastAsia="zh-CN" w:bidi="ar-SA"/>
    </w:rPr>
  </w:style>
  <w:style w:type="paragraph" w:customStyle="1" w:styleId="6">
    <w:name w:val="段"/>
    <w:next w:val="1"/>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宋体"/>
      <w:sz w:val="21"/>
      <w:szCs w:val="21"/>
      <w:lang w:val="en-US" w:eastAsia="zh-CN" w:bidi="ar-SA"/>
    </w:rPr>
  </w:style>
  <w:style w:type="paragraph" w:styleId="7">
    <w:name w:val="Body Text Indent"/>
    <w:basedOn w:val="1"/>
    <w:next w:val="2"/>
    <w:autoRedefine/>
    <w:qFormat/>
    <w:uiPriority w:val="0"/>
    <w:pPr>
      <w:tabs>
        <w:tab w:val="left" w:pos="360"/>
      </w:tabs>
      <w:ind w:left="180" w:firstLine="600"/>
    </w:pPr>
    <w:rPr>
      <w:rFonts w:ascii="宋体" w:hAnsi="宋体"/>
      <w:sz w:val="30"/>
      <w:szCs w:val="30"/>
      <w:lang w:val="zh-CN"/>
    </w:rPr>
  </w:style>
  <w:style w:type="paragraph" w:styleId="8">
    <w:name w:val="footer"/>
    <w:basedOn w:val="1"/>
    <w:autoRedefine/>
    <w:qFormat/>
    <w:uiPriority w:val="99"/>
    <w:pPr>
      <w:tabs>
        <w:tab w:val="center" w:pos="4153"/>
        <w:tab w:val="right" w:pos="8306"/>
      </w:tabs>
      <w:snapToGrid w:val="0"/>
      <w:jc w:val="left"/>
    </w:pPr>
    <w:rPr>
      <w:sz w:val="18"/>
      <w:szCs w:val="18"/>
      <w:lang w:val="zh-CN"/>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11">
    <w:name w:val="Body Text First Indent 2"/>
    <w:basedOn w:val="7"/>
    <w:next w:val="1"/>
    <w:autoRedefine/>
    <w:qFormat/>
    <w:uiPriority w:val="0"/>
    <w:pPr>
      <w:ind w:firstLine="420" w:firstLineChars="200"/>
    </w:pPr>
  </w:style>
  <w:style w:type="character" w:styleId="14">
    <w:name w:val="Hyperlink"/>
    <w:basedOn w:val="13"/>
    <w:autoRedefine/>
    <w:qFormat/>
    <w:uiPriority w:val="0"/>
    <w:rPr>
      <w:color w:val="0000FF"/>
      <w:u w:val="single"/>
    </w:rPr>
  </w:style>
  <w:style w:type="character" w:customStyle="1" w:styleId="15">
    <w:name w:val="NormalCharacter"/>
    <w:autoRedefine/>
    <w:qFormat/>
    <w:uiPriority w:val="0"/>
    <w:rPr>
      <w:kern w:val="2"/>
      <w:sz w:val="21"/>
      <w:szCs w:val="24"/>
      <w:lang w:val="en-US" w:eastAsia="zh-CN" w:bidi="ar-SA"/>
    </w:rPr>
  </w:style>
  <w:style w:type="paragraph" w:customStyle="1" w:styleId="16">
    <w:name w:val="msonospacing"/>
    <w:autoRedefine/>
    <w:qFormat/>
    <w:uiPriority w:val="0"/>
    <w:pPr>
      <w:adjustRightInd w:val="0"/>
      <w:snapToGrid w:val="0"/>
    </w:pPr>
    <w:rPr>
      <w:rFonts w:ascii="Tahoma" w:hAnsi="Tahoma" w:eastAsia="宋体" w:cs="Times New Roman"/>
      <w:sz w:val="22"/>
      <w:szCs w:val="22"/>
      <w:lang w:val="en-US" w:eastAsia="zh-CN" w:bidi="ar-SA"/>
    </w:rPr>
  </w:style>
  <w:style w:type="character" w:customStyle="1" w:styleId="17">
    <w:name w:val="font11"/>
    <w:basedOn w:val="13"/>
    <w:autoRedefine/>
    <w:qFormat/>
    <w:uiPriority w:val="0"/>
    <w:rPr>
      <w:rFonts w:hint="eastAsia" w:ascii="宋体" w:hAnsi="宋体" w:eastAsia="宋体" w:cs="宋体"/>
      <w:b/>
      <w:bCs/>
      <w:color w:val="000000"/>
      <w:sz w:val="21"/>
      <w:szCs w:val="21"/>
      <w:u w:val="none"/>
    </w:rPr>
  </w:style>
  <w:style w:type="character" w:customStyle="1" w:styleId="18">
    <w:name w:val="font31"/>
    <w:basedOn w:val="13"/>
    <w:autoRedefine/>
    <w:qFormat/>
    <w:uiPriority w:val="0"/>
    <w:rPr>
      <w:rFonts w:hint="eastAsia" w:ascii="仿宋_GB2312" w:eastAsia="仿宋_GB2312" w:cs="仿宋_GB2312"/>
      <w:color w:val="000000"/>
      <w:sz w:val="21"/>
      <w:szCs w:val="21"/>
      <w:u w:val="none"/>
    </w:rPr>
  </w:style>
  <w:style w:type="character" w:customStyle="1" w:styleId="19">
    <w:name w:val="font21"/>
    <w:basedOn w:val="13"/>
    <w:autoRedefine/>
    <w:qFormat/>
    <w:uiPriority w:val="0"/>
    <w:rPr>
      <w:rFonts w:hint="eastAsia" w:ascii="仿宋_GB2312" w:eastAsia="仿宋_GB2312" w:cs="仿宋_GB2312"/>
      <w:b/>
      <w:bCs/>
      <w:color w:val="000000"/>
      <w:sz w:val="21"/>
      <w:szCs w:val="21"/>
      <w:u w:val="none"/>
    </w:rPr>
  </w:style>
  <w:style w:type="character" w:customStyle="1" w:styleId="20">
    <w:name w:val="font61"/>
    <w:basedOn w:val="13"/>
    <w:autoRedefine/>
    <w:qFormat/>
    <w:uiPriority w:val="0"/>
    <w:rPr>
      <w:rFonts w:hint="eastAsia"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2024-01-30T02:55:00Z</dcterms:created>
  <dc:creator>Administrator</dc:creator>
  <cp:lastModifiedBy>Administrator</cp:lastModifiedBy>
  <dcterms:modified xsi:type="dcterms:W3CDTF">2024-01-30T08:16:54Z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A1E89D46B53342A891D9FE988EB75701_12</vt:lpwstr>
  </property>
</Properties>
</file>