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240" w:lineRule="auto"/>
        <w:jc w:val="center"/>
        <w:rPr>
          <w:rFonts w:hint="eastAsia" w:ascii="方正小标宋简体" w:hAnsi="方正小标宋简体" w:eastAsia="方正小标宋简体" w:cs="方正小标宋简体"/>
          <w:b w:val="0"/>
          <w:bCs w:val="0"/>
          <w:kern w:val="2"/>
          <w:sz w:val="36"/>
          <w:szCs w:val="36"/>
          <w:lang w:val="en-US" w:eastAsia="zh-CN" w:bidi="ar-SA"/>
        </w:rPr>
      </w:pPr>
      <w:r>
        <w:rPr>
          <w:rFonts w:hint="eastAsia" w:ascii="方正小标宋简体" w:hAnsi="方正小标宋简体" w:eastAsia="方正小标宋简体" w:cs="方正小标宋简体"/>
          <w:b w:val="0"/>
          <w:bCs w:val="0"/>
          <w:kern w:val="2"/>
          <w:sz w:val="36"/>
          <w:szCs w:val="36"/>
          <w:lang w:val="en-US" w:eastAsia="zh-CN" w:bidi="ar-SA"/>
        </w:rPr>
        <w:t>《中外美术史》考试大纲</w:t>
      </w:r>
    </w:p>
    <w:p/>
    <w:p>
      <w:pPr>
        <w:rPr>
          <w:rFonts w:hint="eastAsia" w:ascii="黑体" w:hAnsi="黑体" w:eastAsia="黑体" w:cs="黑体"/>
          <w:sz w:val="24"/>
          <w:szCs w:val="24"/>
        </w:rPr>
      </w:pPr>
      <w:r>
        <w:rPr>
          <w:rFonts w:hint="eastAsia" w:ascii="黑体" w:hAnsi="黑体" w:eastAsia="黑体" w:cs="黑体"/>
          <w:sz w:val="24"/>
          <w:szCs w:val="24"/>
        </w:rPr>
        <w:t>一、课程性质与考试基本要求</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中外美术史》课程是高师美术生的专业必修课，它是提高学生美术理论水平和艺术鉴赏能力的重要课程，有助于学生运用马克思主义观点剖析美术史问题及现当代美术现象，为后续课程打好理论基础。课程测试考生对于中国美术史、外国美术史、绘画理论、美术史学的基本知识、基础理论和基本方法的掌握情况和运用能力。在这四个方向中以中国绘画史和外国绘画史的考察作为重点，以此制定相应的考试内容。</w:t>
      </w:r>
    </w:p>
    <w:p>
      <w:pPr>
        <w:rPr>
          <w:rFonts w:hint="eastAsia" w:ascii="黑体" w:hAnsi="黑体" w:eastAsia="黑体" w:cs="黑体"/>
          <w:sz w:val="24"/>
          <w:szCs w:val="24"/>
        </w:rPr>
      </w:pPr>
      <w:r>
        <w:rPr>
          <w:rFonts w:hint="eastAsia" w:ascii="黑体" w:hAnsi="黑体" w:eastAsia="黑体" w:cs="黑体"/>
          <w:sz w:val="24"/>
          <w:szCs w:val="24"/>
          <w:lang w:val="en-US" w:eastAsia="zh-CN"/>
        </w:rPr>
        <w:t>二、</w:t>
      </w:r>
      <w:r>
        <w:rPr>
          <w:rFonts w:hint="eastAsia" w:ascii="黑体" w:hAnsi="黑体" w:eastAsia="黑体" w:cs="黑体"/>
          <w:sz w:val="24"/>
          <w:szCs w:val="24"/>
        </w:rPr>
        <w:t>命题原则</w:t>
      </w:r>
    </w:p>
    <w:p>
      <w:pPr>
        <w:spacing w:before="0" w:after="0" w:line="360" w:lineRule="auto"/>
        <w:ind w:left="0" w:right="0" w:firstLine="0"/>
        <w:jc w:val="both"/>
        <w:rPr>
          <w:rFonts w:ascii="宋体" w:hAnsi="宋体" w:eastAsia="宋体" w:cs="宋体"/>
          <w:color w:val="auto"/>
          <w:spacing w:val="0"/>
          <w:position w:val="0"/>
          <w:sz w:val="21"/>
          <w:shd w:val="clear" w:fill="auto"/>
        </w:rPr>
      </w:pPr>
      <w:r>
        <w:rPr>
          <w:rFonts w:ascii="黑体" w:hAnsi="黑体" w:eastAsia="黑体" w:cs="黑体"/>
          <w:b/>
          <w:color w:val="auto"/>
          <w:spacing w:val="0"/>
          <w:position w:val="0"/>
          <w:sz w:val="24"/>
          <w:shd w:val="clear" w:fill="auto"/>
        </w:rPr>
        <w:t xml:space="preserve">    </w:t>
      </w:r>
      <w:r>
        <w:rPr>
          <w:rFonts w:ascii="宋体" w:hAnsi="宋体" w:eastAsia="宋体" w:cs="宋体"/>
          <w:color w:val="auto"/>
          <w:spacing w:val="0"/>
          <w:position w:val="0"/>
          <w:sz w:val="21"/>
          <w:shd w:val="clear" w:fill="auto"/>
        </w:rPr>
        <w:t>题型多样，题目涵盖范围广，最基本知识一般占60％左右，灵活题目占20％左右，较难题目占20％左右。题目应以中小题目为主，应适当压缩大题目在总的考分中的比例，客观题应占较大比重。</w:t>
      </w:r>
    </w:p>
    <w:p>
      <w:pPr>
        <w:rPr>
          <w:rFonts w:hint="eastAsia" w:ascii="黑体" w:hAnsi="黑体" w:eastAsia="黑体" w:cs="黑体"/>
          <w:sz w:val="24"/>
          <w:szCs w:val="24"/>
        </w:rPr>
      </w:pPr>
      <w:r>
        <w:rPr>
          <w:rFonts w:hint="eastAsia" w:ascii="黑体" w:hAnsi="黑体" w:eastAsia="黑体" w:cs="黑体"/>
          <w:sz w:val="24"/>
          <w:szCs w:val="24"/>
        </w:rPr>
        <w:t>三、考试内容</w:t>
      </w:r>
    </w:p>
    <w:p>
      <w:pPr>
        <w:spacing w:before="0" w:after="0" w:line="440" w:lineRule="auto"/>
        <w:ind w:left="0" w:right="0" w:firstLine="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中国美术史部分</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考查目标</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中国美术史》是一门基础性理论学科，主要研究中国美术的发展脉络以及不同朝代美术流派、绘画风格、主要画家、重要的传世绘画作品以及建筑与宗教艺术等。要求考生对《中国美术史》的基本理论、基本知识、基本内容有一个全面的掌握。该门考试，主要考察考生对本门课程知识点的把握能力、理解能力以及分析艺术作品的能力。</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1．系统掌握中国美术史的基础知识、基本概念、基本理论。</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2．能运用中国美术史的基本理论来分析和解决画史画论和作品分析方面的各类问题，对艺术史发生发展的过程有一个较为清晰的认识。</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考查内容</w:t>
      </w:r>
    </w:p>
    <w:p>
      <w:pPr>
        <w:spacing w:before="0" w:after="0" w:line="440" w:lineRule="auto"/>
        <w:ind w:left="0" w:right="0" w:firstLine="0"/>
        <w:jc w:val="center"/>
        <w:rPr>
          <w:rFonts w:ascii="宋体" w:hAnsi="宋体" w:eastAsia="宋体" w:cs="宋体"/>
          <w:b/>
          <w:color w:val="auto"/>
          <w:spacing w:val="0"/>
          <w:position w:val="0"/>
          <w:sz w:val="24"/>
          <w:shd w:val="clear" w:fill="auto"/>
        </w:rPr>
      </w:pP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第一章   原始美术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掌握：陶器的装饰纹样。</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了解：新石器时代（约为7000——4000年前）的陶器和玉器。</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玉器 良渚玉器的代表器物、形式、特点。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第二节 彩陶与黑陶  彩陶、黑陶概念；仰韶文化半坡类型代表人面鱼纹盆；马家窑文化的代表舞蹈纹彩陶盆 </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岩画与地画 内蒙古阴山、宁夏贺兰山岩画；秦安大地湾地画</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先秦美术</w:t>
      </w:r>
    </w:p>
    <w:p>
      <w:pPr>
        <w:spacing w:before="0" w:after="0" w:line="440" w:lineRule="auto"/>
        <w:ind w:left="0" w:right="0" w:firstLine="0"/>
        <w:jc w:val="both"/>
        <w:rPr>
          <w:rFonts w:ascii="宋体" w:hAnsi="宋体" w:eastAsia="宋体" w:cs="宋体"/>
          <w:color w:val="auto"/>
          <w:spacing w:val="0"/>
          <w:position w:val="0"/>
          <w:sz w:val="21"/>
          <w:shd w:val="clear" w:fill="auto"/>
        </w:rPr>
      </w:pPr>
      <w:r>
        <w:rPr>
          <w:rFonts w:ascii="宋体" w:hAnsi="宋体" w:eastAsia="宋体" w:cs="宋体"/>
          <w:b/>
          <w:color w:val="auto"/>
          <w:spacing w:val="0"/>
          <w:position w:val="0"/>
          <w:sz w:val="21"/>
          <w:shd w:val="clear" w:fill="auto"/>
        </w:rPr>
        <w:t>[考核要求]</w:t>
      </w:r>
      <w:r>
        <w:rPr>
          <w:rFonts w:ascii="宋体" w:hAnsi="宋体" w:eastAsia="宋体" w:cs="宋体"/>
          <w:color w:val="auto"/>
          <w:spacing w:val="0"/>
          <w:position w:val="0"/>
          <w:sz w:val="21"/>
          <w:shd w:val="clear" w:fill="auto"/>
        </w:rPr>
        <w:t xml:space="preserve"> </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掌握：夏商周时代青铜器艺术与春秋战国时代青铜器艺术风格的区别；汉字艺术。</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了解：青铜器的铸造工艺及与礼制的关系。</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青铜器艺术  青铜器的功用；不同时期青铜器的艺术风格</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第二节  汉字艺术   甲骨文、金文：《散氏盘》《毛公鼎》等 </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秦汉美术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掌握：秦始皇兵马俑、霍去病墓石雕；汉代绘画；画像石和画像砖的艺术特征。</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了解：秦代雕塑和汉代雕塑各自的艺术风格及区别。</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秦汉雕塑 兵马俑、霍去病墓陵石刻</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汉代墓室壁画和帛画  西汉梁王墓、卜千秋墓室壁画及东汉墓室壁画；长沙马王堆墓T型帛画</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画像石和画像砖  画像石、画像砖概念和重要遗址以及其地域特点</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第四章   魏晋南北朝美术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掌握：重要的画家、作品和绘画理论；墓室壁画、石窟造像、壁画及陵墓雕刻。</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了解：魏晋动荡年代出现的书画艺术上的自觉；中外文化交流下的佛教艺术。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墓室壁画  河西魏晋墓室壁画等</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重要的画家、作品和画论  密体：曹不兴、顾恺之、陆探微、杨子华、曹仲达；疏体：张僧繇；顾恺之、谢赫等画家画论；宗炳、王微山水画论</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佛教石窟艺术  云岗石窟、龙门石窟、克孜尔洞窟、莫高窟</w:t>
      </w:r>
    </w:p>
    <w:p>
      <w:pPr>
        <w:spacing w:before="0" w:after="0" w:line="440" w:lineRule="auto"/>
        <w:ind w:left="0" w:right="0" w:firstLine="420"/>
        <w:jc w:val="both"/>
        <w:rPr>
          <w:rFonts w:ascii="宋体" w:hAnsi="宋体" w:eastAsia="宋体" w:cs="宋体"/>
          <w:color w:val="auto"/>
          <w:spacing w:val="0"/>
          <w:position w:val="0"/>
          <w:sz w:val="21"/>
          <w:shd w:val="clear" w:fill="auto"/>
        </w:rPr>
      </w:pP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第五章   隋唐五代美术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掌握：隋唐五代时期的人物画、山水画与花鸟画艺术；唐代书法与石窟壁画的艺术成就。</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了解：唐代宫廷绘画艺术中的现实主义。</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隋唐人物画和山水画  人物画：阎立本、吴道子、张萱、周昉；青绿山水：展子虔、“大小李将军”；王维“水墨画”</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重要绘画史及理论代表 张彦远《历代名画记》</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隋唐时期书法的艺术成就与特点  颜真卿、柳公权；张旭、怀素</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五代绘画  山水画：荆浩 关仝 董源 巨然；花鸟画：黄筌 徐熙；人物画：周文炬、顾闳中</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 </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第六章   宋元美术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掌握：宋元山水画、人物画与花鸟画的艺术成就以及文人画的理论。</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了解：宋代古典的艺术特征以及对中国绘画史的影响。</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宋代山水画 李成、范宽；郭熙、马远、夏圭等</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宋代人物画、花鸟画、文人画理论  李公麟、张择端、梁楷、崔白；苏轼文人画理论</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元代文人画及其画论、其他绘画   赵孟頫绘画艺术及其文人画理论；元四家；元代水墨竹梅花与花鸟画</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第七章   明清美术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掌握：明代宫廷花鸟画与文人画成就；明代花鸟画与清代山水画及其绘画理论。</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了解：董其昌的“南北宗”理论以及对明清绘画的影响；“四王”和 “四僧”的艺术对现代中国画发展的影响。</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明代宫廷绘画和文人绘画   宫廷：边、孙、林、吕；浙派；“明四家”</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明代末期和清初山水画   陈淳、徐渭；董其昌；清初“六家”</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四僧和清代文人画派   石涛《苦瓜和尚画语录》的艺术思想</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其他绘画和文人画派   扬州八怪；京江画派</w:t>
      </w:r>
    </w:p>
    <w:p>
      <w:pPr>
        <w:spacing w:before="0" w:after="0" w:line="440" w:lineRule="auto"/>
        <w:ind w:left="0" w:right="0" w:firstLine="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外国美术史部分</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考查目标</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1．综合考察学生对以西方为主的各国、各地区美术的产生与发展的认识程度</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2．对其主要潮流或流派的观念和代表人物、代表作品的了解程度</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3．能否从美术发展与文化演变的角度，认识其传统和现代美术的表现形式和表现手段。</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考查内容</w:t>
      </w:r>
    </w:p>
    <w:p>
      <w:pPr>
        <w:spacing w:before="0" w:after="0" w:line="440" w:lineRule="auto"/>
        <w:ind w:left="0" w:right="0" w:firstLine="0"/>
        <w:jc w:val="center"/>
        <w:rPr>
          <w:rFonts w:ascii="宋体" w:hAnsi="宋体" w:eastAsia="宋体" w:cs="宋体"/>
          <w:b/>
          <w:color w:val="auto"/>
          <w:spacing w:val="0"/>
          <w:position w:val="0"/>
          <w:sz w:val="24"/>
          <w:shd w:val="clear" w:fill="auto"/>
        </w:rPr>
      </w:pP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第一章   原始、古代美术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掌握：古巴比伦、苏美尔—阿卡德工艺美术；埃及古王国时期雕塑；古希腊、古罗马雕塑、建筑艺术。</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了解：古代两河流域、古代埃及不同发展时期的美术概况；古希腊、罗马的建筑与雕塑作品。</w:t>
      </w:r>
    </w:p>
    <w:p>
      <w:pPr>
        <w:spacing w:before="0" w:after="0" w:line="440" w:lineRule="auto"/>
        <w:ind w:left="0" w:right="0" w:firstLine="0"/>
        <w:jc w:val="both"/>
        <w:rPr>
          <w:rFonts w:ascii="宋体" w:hAnsi="宋体" w:eastAsia="宋体" w:cs="宋体"/>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原始美术  洞窟壁画；母神雕像；巨石艺术</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古代两河流域美术 巴比伦美术；苏美尔－阿卡德工艺美术</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古埃及美术  古代埃及不同时期的雕塑。</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古希腊、古罗马雕塑建筑艺术  古代希腊不同时期的雕塑、建筑；古代罗马雕塑、建筑艺术</w:t>
      </w:r>
    </w:p>
    <w:p>
      <w:pPr>
        <w:spacing w:before="0" w:after="0" w:line="44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中世纪美术</w:t>
      </w:r>
    </w:p>
    <w:p>
      <w:pPr>
        <w:spacing w:before="0" w:after="0" w:line="440" w:lineRule="auto"/>
        <w:ind w:left="0" w:right="0" w:firstLine="0"/>
        <w:jc w:val="both"/>
        <w:rPr>
          <w:rFonts w:ascii="宋体" w:hAnsi="宋体" w:eastAsia="宋体" w:cs="宋体"/>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掌握：基掌握拜占庭艺术、罗马式艺术和哥特式艺术的艺术风格特色。</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了解：神权下的中世纪特有的审美观念和艺术史实。</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早期基督教美术 巴西利式教堂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第二节 早期中世纪美术  蛮族艺术；加洛林文艺复兴；奥托美术 </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拜占庭美术   镶嵌画</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罗马式美术  罗马式建筑的特征</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第五节 哥特式艺术  哥特式教堂</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欧洲文艺复兴时期美术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掌握：不同国家和地区文艺复兴时期的代表画家及作品。</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了解：不同国家和地区文艺复兴时期的人文主义背景及艺术现象。</w:t>
      </w:r>
    </w:p>
    <w:p>
      <w:pPr>
        <w:spacing w:before="0" w:after="0" w:line="440" w:lineRule="auto"/>
        <w:ind w:left="0" w:right="0" w:firstLine="0"/>
        <w:jc w:val="both"/>
        <w:rPr>
          <w:rFonts w:ascii="宋体" w:hAnsi="宋体" w:eastAsia="宋体" w:cs="宋体"/>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意大利文艺复兴美术  文艺复兴三杰；威尼斯画派</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尼德兰文艺复兴美术  勃鲁盖尔；扬·凡·埃克</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德国文艺复兴美术  丢勒</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西班牙文艺复兴美术  格列柯</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第四章   17、18世纪欧洲美术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掌握：17、18世纪欧洲不同国家代表画家及其艺术成就。</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了解：17、18世纪欧洲美术产生的历史背景及各流派艺术史料。</w:t>
      </w:r>
    </w:p>
    <w:p>
      <w:pPr>
        <w:spacing w:before="0" w:after="0" w:line="440" w:lineRule="auto"/>
        <w:ind w:left="0" w:right="0" w:firstLine="0"/>
        <w:jc w:val="both"/>
        <w:rPr>
          <w:rFonts w:ascii="宋体" w:hAnsi="宋体" w:eastAsia="宋体" w:cs="宋体"/>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17世纪意大利美术  卡拉瓦乔</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第二节 17世纪佛兰德斯美术  鲁本斯 </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17世纪荷兰美术  伦勃朗；哈尔斯；维米尔；荷兰小画派</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17、18世纪法国美术  普桑；华托；布歇；夏尔丹；罗可可艺术</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第五节 17、18世纪西班牙美术  委拉斯贵兹；浪漫主义先驱戈雅</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第六节 17、18世纪英国美术  荷加斯；雷诺兹；庚斯博罗 </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第五章   19世纪欧洲及美国美术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掌握：拉斐尔前派、巡回展览画派、英国、德国浪漫主义、法国印象派与后印象派等各流派代表艺术家及其代表作品的艺术思想、艺术特色。</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了解：各国美术发展的历史背景，掌握各国的艺术史实。</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 xml:space="preserve"> [考核内容]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 第一节 19世纪法国美术  法国新古典主义美术：达维特、安格尔；法国浪漫主义美术：籍里柯、德拉克洛瓦；法国现实主义美术：库尔贝、米勒、杜米埃；法国浪漫主义雕塑：罗丹、吕德；法国印象派：马奈、莫奈、德加、雷诺阿；法国后印象派：塞尚、高更、梵高、修拉。</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19世纪英国、德国、瑞典和比利时美术  英国“拉斐尔前派” ；英国浪漫主义：康斯泰勃尔、透纳；德国浪漫主义：弗里德里希</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19世纪美国艺术  卡萨特；惠斯勒</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19世纪俄罗斯批判现实主义艺术 列宾</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第六章   20世纪欧洲美术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b/>
          <w:color w:val="auto"/>
          <w:spacing w:val="0"/>
          <w:position w:val="0"/>
          <w:sz w:val="21"/>
          <w:shd w:val="clear" w:fill="auto"/>
        </w:rPr>
      </w:pPr>
      <w:r>
        <w:rPr>
          <w:rFonts w:ascii="宋体" w:hAnsi="宋体" w:eastAsia="宋体" w:cs="宋体"/>
          <w:color w:val="auto"/>
          <w:spacing w:val="0"/>
          <w:position w:val="0"/>
          <w:sz w:val="21"/>
          <w:shd w:val="clear" w:fill="auto"/>
        </w:rPr>
        <w:t>掌握：立体派、野兽派、表现派、达达派等现代主义流派在美术史上的地位和影响；欧洲后现代主义的艺术特征。</w:t>
      </w:r>
    </w:p>
    <w:p>
      <w:pPr>
        <w:spacing w:before="0" w:after="0" w:line="440" w:lineRule="auto"/>
        <w:ind w:left="210" w:right="0" w:firstLine="21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了解：二战前西方现代美术；二战后西方后现代美术。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欧洲现代主义绘画  毕加索</w:t>
      </w:r>
      <w:bookmarkStart w:id="0" w:name="_GoBack"/>
      <w:bookmarkEnd w:id="0"/>
      <w:r>
        <w:rPr>
          <w:rFonts w:ascii="宋体" w:hAnsi="宋体" w:eastAsia="宋体" w:cs="宋体"/>
          <w:color w:val="auto"/>
          <w:spacing w:val="0"/>
          <w:position w:val="0"/>
          <w:sz w:val="21"/>
          <w:shd w:val="clear" w:fill="auto"/>
        </w:rPr>
        <w:t>与立体派；马蒂斯与野兽派；德国表现主义、蒙克；杜尚与达达主义</w:t>
      </w:r>
    </w:p>
    <w:p>
      <w:pPr>
        <w:spacing w:before="0" w:after="0" w:line="440" w:lineRule="auto"/>
        <w:ind w:left="210" w:right="0" w:firstLine="21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欧洲现代主义雕塑与建筑  布朗库西；包豪斯</w:t>
      </w:r>
    </w:p>
    <w:p>
      <w:pPr>
        <w:spacing w:before="0" w:after="0" w:line="440" w:lineRule="auto"/>
        <w:ind w:left="210" w:right="0" w:firstLine="21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二战后的欧洲美术  波普艺术；波洛克行动绘画；抽象表现主义；行为艺术；观念艺术；装置艺术</w:t>
      </w:r>
    </w:p>
    <w:p>
      <w:pPr>
        <w:rPr>
          <w:rFonts w:hint="eastAsia" w:ascii="黑体" w:hAnsi="黑体" w:eastAsia="黑体" w:cs="黑体"/>
          <w:sz w:val="24"/>
          <w:szCs w:val="24"/>
        </w:rPr>
      </w:pPr>
      <w:r>
        <w:rPr>
          <w:rFonts w:hint="eastAsia" w:ascii="黑体" w:hAnsi="黑体" w:eastAsia="黑体" w:cs="黑体"/>
          <w:sz w:val="24"/>
          <w:szCs w:val="24"/>
        </w:rPr>
        <w:t>四、试卷结构及主要题型</w:t>
      </w:r>
    </w:p>
    <w:p>
      <w:pPr>
        <w:tabs>
          <w:tab w:val="left" w:pos="180"/>
          <w:tab w:val="left" w:pos="360"/>
          <w:tab w:val="left" w:pos="1260"/>
        </w:tabs>
        <w:spacing w:before="0" w:after="0" w:line="440" w:lineRule="auto"/>
        <w:ind w:left="0" w:right="0" w:firstLine="0"/>
        <w:jc w:val="both"/>
        <w:rPr>
          <w:rFonts w:ascii="黑体" w:hAnsi="黑体" w:eastAsia="黑体" w:cs="黑体"/>
          <w:b/>
          <w:color w:val="auto"/>
          <w:spacing w:val="0"/>
          <w:position w:val="0"/>
          <w:sz w:val="21"/>
          <w:shd w:val="clear" w:fill="auto"/>
        </w:rPr>
      </w:pPr>
      <w:r>
        <w:rPr>
          <w:rFonts w:ascii="黑体" w:hAnsi="黑体" w:eastAsia="黑体" w:cs="黑体"/>
          <w:b/>
          <w:color w:val="auto"/>
          <w:spacing w:val="0"/>
          <w:position w:val="0"/>
          <w:sz w:val="21"/>
          <w:shd w:val="clear" w:fill="auto"/>
        </w:rPr>
        <w:t>1. 试卷结构</w:t>
      </w:r>
    </w:p>
    <w:p>
      <w:pPr>
        <w:spacing w:before="0" w:after="0" w:line="440" w:lineRule="auto"/>
        <w:ind w:left="210" w:right="0" w:firstLine="21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基本题：60％左右，综合题20％左右，提高题20％左右。</w:t>
      </w:r>
    </w:p>
    <w:p>
      <w:pPr>
        <w:tabs>
          <w:tab w:val="left" w:pos="180"/>
          <w:tab w:val="left" w:pos="360"/>
          <w:tab w:val="left" w:pos="1260"/>
        </w:tabs>
        <w:spacing w:before="0" w:after="0" w:line="440" w:lineRule="auto"/>
        <w:ind w:left="0" w:right="0" w:firstLine="0"/>
        <w:jc w:val="both"/>
        <w:rPr>
          <w:rFonts w:ascii="黑体" w:hAnsi="黑体" w:eastAsia="黑体" w:cs="黑体"/>
          <w:b/>
          <w:color w:val="auto"/>
          <w:spacing w:val="0"/>
          <w:position w:val="0"/>
          <w:sz w:val="21"/>
          <w:shd w:val="clear" w:fill="auto"/>
        </w:rPr>
      </w:pPr>
      <w:r>
        <w:rPr>
          <w:rFonts w:ascii="黑体" w:hAnsi="黑体" w:eastAsia="黑体" w:cs="黑体"/>
          <w:b/>
          <w:color w:val="auto"/>
          <w:spacing w:val="0"/>
          <w:position w:val="0"/>
          <w:sz w:val="21"/>
          <w:shd w:val="clear" w:fill="auto"/>
        </w:rPr>
        <w:t>2.主要题型</w:t>
      </w:r>
    </w:p>
    <w:p>
      <w:pPr>
        <w:spacing w:before="0" w:after="0" w:line="440" w:lineRule="auto"/>
        <w:ind w:left="210" w:right="0" w:firstLine="21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主要有六大类题型，分别为单选题（20％）、判断题（10％）多选题（15％）名词解释题（15％）简答题（20％）论述题（20％）。</w:t>
      </w:r>
    </w:p>
    <w:p>
      <w:pPr>
        <w:rPr>
          <w:rFonts w:hint="eastAsia" w:ascii="黑体" w:hAnsi="黑体" w:eastAsia="黑体" w:cs="黑体"/>
          <w:sz w:val="24"/>
          <w:szCs w:val="24"/>
        </w:rPr>
      </w:pPr>
      <w:r>
        <w:rPr>
          <w:rFonts w:hint="eastAsia" w:ascii="黑体" w:hAnsi="黑体" w:eastAsia="黑体" w:cs="黑体"/>
          <w:sz w:val="24"/>
          <w:szCs w:val="24"/>
        </w:rPr>
        <w:t>五、考核方式</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闭卷，笔试。</w:t>
      </w:r>
    </w:p>
    <w:p>
      <w:pPr>
        <w:rPr>
          <w:rFonts w:hint="eastAsia" w:ascii="黑体" w:hAnsi="黑体" w:eastAsia="黑体" w:cs="黑体"/>
          <w:sz w:val="24"/>
          <w:szCs w:val="24"/>
        </w:rPr>
      </w:pPr>
      <w:r>
        <w:rPr>
          <w:rFonts w:hint="eastAsia" w:ascii="黑体" w:hAnsi="黑体" w:eastAsia="黑体" w:cs="黑体"/>
          <w:sz w:val="24"/>
          <w:szCs w:val="24"/>
        </w:rPr>
        <w:t>六、考试时间及总分</w:t>
      </w:r>
    </w:p>
    <w:p>
      <w:pPr>
        <w:spacing w:before="0" w:after="0" w:line="440" w:lineRule="auto"/>
        <w:ind w:left="0" w:right="0" w:firstLine="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    考试时间为120分钟，总分为100分。</w:t>
      </w:r>
    </w:p>
    <w:p>
      <w:pPr>
        <w:rPr>
          <w:rFonts w:hint="eastAsia" w:ascii="黑体" w:hAnsi="黑体" w:eastAsia="黑体" w:cs="黑体"/>
          <w:sz w:val="24"/>
          <w:szCs w:val="24"/>
        </w:rPr>
      </w:pPr>
      <w:r>
        <w:rPr>
          <w:rFonts w:hint="eastAsia" w:ascii="黑体" w:hAnsi="黑体" w:eastAsia="黑体" w:cs="黑体"/>
          <w:sz w:val="24"/>
          <w:szCs w:val="24"/>
        </w:rPr>
        <w:t>七、参考教材及其他参考资料</w:t>
      </w:r>
    </w:p>
    <w:p>
      <w:pPr>
        <w:numPr>
          <w:ilvl w:val="0"/>
          <w:numId w:val="1"/>
        </w:numPr>
        <w:tabs>
          <w:tab w:val="left" w:pos="312"/>
        </w:tabs>
        <w:spacing w:before="0" w:after="0" w:line="440" w:lineRule="auto"/>
        <w:ind w:left="105"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参考教材</w:t>
      </w:r>
    </w:p>
    <w:p>
      <w:pPr>
        <w:spacing w:before="0" w:after="0" w:line="440" w:lineRule="auto"/>
        <w:ind w:left="105"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林木主编：《中外美术史》，北京：人民美术出版社，2018.</w:t>
      </w:r>
    </w:p>
    <w:p>
      <w:pPr>
        <w:numPr>
          <w:ilvl w:val="0"/>
          <w:numId w:val="2"/>
        </w:numPr>
        <w:tabs>
          <w:tab w:val="left" w:pos="312"/>
        </w:tabs>
        <w:spacing w:before="0" w:after="0" w:line="440" w:lineRule="auto"/>
        <w:ind w:left="105"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其他参考资料</w:t>
      </w:r>
    </w:p>
    <w:p>
      <w:pPr>
        <w:numPr>
          <w:ilvl w:val="0"/>
          <w:numId w:val="0"/>
        </w:numPr>
        <w:tabs>
          <w:tab w:val="left" w:pos="312"/>
        </w:tabs>
        <w:spacing w:before="0" w:after="0" w:line="440" w:lineRule="auto"/>
        <w:ind w:left="420" w:leftChars="0" w:right="0" w:rightChars="0"/>
        <w:jc w:val="both"/>
        <w:rPr>
          <w:rFonts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lang w:val="en-US" w:eastAsia="zh-CN"/>
        </w:rPr>
        <w:t>[1]</w:t>
      </w:r>
      <w:r>
        <w:rPr>
          <w:rFonts w:ascii="宋体" w:hAnsi="宋体" w:eastAsia="宋体" w:cs="宋体"/>
          <w:color w:val="auto"/>
          <w:spacing w:val="0"/>
          <w:position w:val="0"/>
          <w:sz w:val="21"/>
          <w:shd w:val="clear" w:fill="auto"/>
        </w:rPr>
        <w:t>尹吉男主编：《中国美术史》（马工程教材），北京：高等教育出版社，2019.</w:t>
      </w:r>
    </w:p>
    <w:p>
      <w:pPr>
        <w:numPr>
          <w:ilvl w:val="0"/>
          <w:numId w:val="0"/>
        </w:numPr>
        <w:tabs>
          <w:tab w:val="left" w:pos="312"/>
        </w:tabs>
        <w:spacing w:before="0" w:after="0" w:line="440" w:lineRule="auto"/>
        <w:ind w:left="420" w:leftChars="0" w:right="0" w:rightChars="0"/>
        <w:jc w:val="both"/>
        <w:rPr>
          <w:rFonts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lang w:val="en-US" w:eastAsia="zh-CN"/>
        </w:rPr>
        <w:t>[2]</w:t>
      </w:r>
      <w:r>
        <w:rPr>
          <w:rFonts w:ascii="宋体" w:hAnsi="宋体" w:eastAsia="宋体" w:cs="宋体"/>
          <w:color w:val="auto"/>
          <w:spacing w:val="0"/>
          <w:position w:val="0"/>
          <w:sz w:val="21"/>
          <w:shd w:val="clear" w:fill="auto"/>
        </w:rPr>
        <w:t>薄松年：《中国美术史教程》，西安：陕西人民美术出版社，2009.</w:t>
      </w:r>
    </w:p>
    <w:p>
      <w:pPr>
        <w:numPr>
          <w:ilvl w:val="0"/>
          <w:numId w:val="0"/>
        </w:numPr>
        <w:tabs>
          <w:tab w:val="left" w:pos="312"/>
        </w:tabs>
        <w:spacing w:before="0" w:after="0" w:line="440" w:lineRule="auto"/>
        <w:ind w:left="420" w:leftChars="0" w:right="0" w:rightChars="0"/>
        <w:jc w:val="both"/>
        <w:rPr>
          <w:rFonts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lang w:val="en-US" w:eastAsia="zh-CN"/>
        </w:rPr>
        <w:t>[3]</w:t>
      </w:r>
      <w:r>
        <w:rPr>
          <w:rFonts w:ascii="宋体" w:hAnsi="宋体" w:eastAsia="宋体" w:cs="宋体"/>
          <w:color w:val="auto"/>
          <w:spacing w:val="0"/>
          <w:position w:val="0"/>
          <w:sz w:val="21"/>
          <w:shd w:val="clear" w:fill="auto"/>
        </w:rPr>
        <w:t>丁宁：《西方美术史十五讲》，北京：北京大学出版社，2016.</w:t>
      </w:r>
    </w:p>
    <w:p>
      <w:pPr>
        <w:numPr>
          <w:ilvl w:val="0"/>
          <w:numId w:val="0"/>
        </w:numPr>
        <w:tabs>
          <w:tab w:val="left" w:pos="312"/>
        </w:tabs>
        <w:spacing w:before="0" w:after="0" w:line="440" w:lineRule="auto"/>
        <w:ind w:left="420" w:leftChars="0" w:right="0" w:rightChars="0"/>
        <w:jc w:val="both"/>
        <w:rPr>
          <w:rFonts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lang w:val="en-US" w:eastAsia="zh-CN"/>
        </w:rPr>
        <w:t>[4]</w:t>
      </w:r>
      <w:r>
        <w:rPr>
          <w:rFonts w:ascii="宋体" w:hAnsi="宋体" w:eastAsia="宋体" w:cs="宋体"/>
          <w:color w:val="auto"/>
          <w:spacing w:val="0"/>
          <w:position w:val="0"/>
          <w:sz w:val="21"/>
          <w:shd w:val="clear" w:fill="auto"/>
        </w:rPr>
        <w:t>中央美术学院人文学院美术史系外国史教研室编：《外国美术简史》，北京：中国青年出版社，2014.</w:t>
      </w:r>
    </w:p>
    <w:p>
      <w:pPr>
        <w:spacing w:before="0" w:after="0" w:line="440" w:lineRule="auto"/>
        <w:ind w:left="0" w:right="0" w:firstLine="630"/>
        <w:jc w:val="both"/>
        <w:rPr>
          <w:rFonts w:ascii="Times New Roman" w:hAnsi="Times New Roman" w:eastAsia="Times New Roman" w:cs="Times New Roman"/>
          <w:color w:val="000000"/>
          <w:spacing w:val="0"/>
          <w:position w:val="0"/>
          <w:sz w:val="21"/>
          <w:shd w:val="clear" w:fill="auto"/>
        </w:rPr>
      </w:pPr>
    </w:p>
    <w:p>
      <w:pPr>
        <w:spacing w:before="0" w:after="0" w:line="440" w:lineRule="auto"/>
        <w:ind w:left="0" w:right="0" w:firstLine="630"/>
        <w:jc w:val="both"/>
        <w:rPr>
          <w:rFonts w:ascii="Times New Roman" w:hAnsi="Times New Roman" w:eastAsia="Times New Roman" w:cs="Times New Roman"/>
          <w:color w:val="000000"/>
          <w:spacing w:val="0"/>
          <w:position w:val="0"/>
          <w:sz w:val="21"/>
          <w:shd w:val="clear" w:fill="auto"/>
        </w:rPr>
      </w:pPr>
    </w:p>
    <w:p>
      <w:pPr>
        <w:spacing w:before="0" w:after="0" w:line="440" w:lineRule="auto"/>
        <w:ind w:left="0" w:right="0" w:firstLine="630"/>
        <w:jc w:val="both"/>
        <w:rPr>
          <w:rFonts w:ascii="Times New Roman" w:hAnsi="Times New Roman" w:eastAsia="Times New Roman" w:cs="Times New Roman"/>
          <w:color w:val="000000"/>
          <w:spacing w:val="0"/>
          <w:position w:val="0"/>
          <w:sz w:val="21"/>
          <w:shd w:val="clear" w:fill="auto"/>
        </w:rPr>
      </w:pPr>
    </w:p>
    <w:p>
      <w:pPr>
        <w:spacing w:before="0" w:after="0" w:line="440" w:lineRule="auto"/>
        <w:ind w:left="0" w:right="0" w:firstLine="63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000000"/>
          <w:spacing w:val="0"/>
          <w:position w:val="0"/>
          <w:sz w:val="21"/>
          <w:shd w:val="clear" w:fill="auto"/>
        </w:rPr>
        <w:t>制定人：                       审核人：                          批准人：</w:t>
      </w:r>
      <w:r>
        <w:rPr>
          <w:rFonts w:ascii="宋体" w:hAnsi="宋体" w:eastAsia="宋体" w:cs="宋体"/>
          <w:color w:val="auto"/>
          <w:spacing w:val="0"/>
          <w:position w:val="0"/>
          <w:sz w:val="21"/>
          <w:shd w:val="clear" w:fill="auto"/>
        </w:rPr>
        <w:t xml:space="preserve">        </w:t>
      </w:r>
    </w:p>
    <w:p>
      <w:pPr>
        <w:spacing w:before="0" w:after="0" w:line="440" w:lineRule="auto"/>
        <w:ind w:left="0" w:right="0" w:firstLine="0"/>
        <w:jc w:val="both"/>
        <w:rPr>
          <w:rFonts w:ascii="Times New Roman" w:hAnsi="Times New Roman" w:eastAsia="Times New Roman" w:cs="Times New Roman"/>
          <w:color w:val="auto"/>
          <w:spacing w:val="0"/>
          <w:position w:val="0"/>
          <w:sz w:val="32"/>
          <w:shd w:val="clear" w:fill="auto"/>
        </w:rPr>
      </w:pPr>
    </w:p>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lvlText w:val="%1."/>
      <w:lvlJc w:val="left"/>
    </w:lvl>
  </w:abstractNum>
  <w:abstractNum w:abstractNumId="1">
    <w:nsid w:val="59ADCABA"/>
    <w:multiLevelType w:val="singleLevel"/>
    <w:tmpl w:val="59ADCABA"/>
    <w:lvl w:ilvl="0" w:tentative="0">
      <w:start w:val="1"/>
      <w:numFmt w:val="decimal"/>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D56FB"/>
    <w:rsid w:val="18415ACE"/>
    <w:rsid w:val="273C0DEB"/>
    <w:rsid w:val="2BC34D5F"/>
    <w:rsid w:val="2FD3220C"/>
    <w:rsid w:val="324B2C9B"/>
    <w:rsid w:val="35F43E2B"/>
    <w:rsid w:val="38CB6AAA"/>
    <w:rsid w:val="3C430545"/>
    <w:rsid w:val="462A5F7B"/>
    <w:rsid w:val="71645D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3551</Words>
  <Characters>3624</Characters>
  <TotalTime>12</TotalTime>
  <ScaleCrop>false</ScaleCrop>
  <LinksUpToDate>false</LinksUpToDate>
  <CharactersWithSpaces>3891</CharactersWithSpaces>
  <Application>WPS Office_11.1.0.11365_F1E327BC-269C-435d-A152-05C5408002CA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2022-03-15T05:18:00Z</dcterms:created>
  <dc:creator>XYWM123</dc:creator>
  <cp:lastModifiedBy>王莉</cp:lastModifiedBy>
  <cp:lastPrinted>2022-03-22T07:54:50Z</cp:lastPrinted>
  <dcterms:modified xsi:type="dcterms:W3CDTF">2022-03-22T07:55:11Z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53CADE28CBDD47A68F1293784744B8D6</vt:lpwstr>
  </property>
</Properties>
</file>