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等线" w:hAnsi="等线" w:eastAsia="华文中宋" w:cs="华文中宋"/>
          <w:b/>
          <w:bCs/>
          <w:sz w:val="36"/>
          <w:szCs w:val="36"/>
          <w:highlight w:val="none"/>
        </w:rPr>
      </w:pPr>
      <w:bookmarkStart w:id="0" w:name="zhengwen"/>
      <w:r>
        <w:rPr>
          <w:rFonts w:hint="eastAsia" w:ascii="等线" w:hAnsi="等线" w:eastAsia="华文中宋" w:cs="华文中宋"/>
          <w:b/>
          <w:bCs/>
          <w:sz w:val="36"/>
          <w:szCs w:val="36"/>
          <w:highlight w:val="none"/>
          <w:u w:val="single"/>
        </w:rPr>
        <w:t xml:space="preserve"> </w:t>
      </w:r>
      <w:r>
        <w:rPr>
          <w:rFonts w:ascii="等线" w:hAnsi="等线" w:eastAsia="华文中宋" w:cs="华文中宋"/>
          <w:b/>
          <w:bCs/>
          <w:sz w:val="36"/>
          <w:szCs w:val="36"/>
          <w:highlight w:val="none"/>
          <w:u w:val="single"/>
        </w:rPr>
        <w:t xml:space="preserve"> </w:t>
      </w:r>
      <w:r>
        <w:rPr>
          <w:rFonts w:hint="eastAsia" w:ascii="等线" w:hAnsi="等线" w:eastAsia="华文中宋" w:cs="华文中宋"/>
          <w:b/>
          <w:bCs/>
          <w:sz w:val="36"/>
          <w:szCs w:val="36"/>
          <w:highlight w:val="none"/>
          <w:u w:val="single"/>
        </w:rPr>
        <w:t xml:space="preserve">潇湘职业学院  </w:t>
      </w:r>
      <w:r>
        <w:rPr>
          <w:rFonts w:hint="eastAsia" w:ascii="等线" w:hAnsi="等线" w:eastAsia="华文中宋" w:cs="华文中宋"/>
          <w:b/>
          <w:bCs/>
          <w:sz w:val="36"/>
          <w:szCs w:val="36"/>
          <w:highlight w:val="none"/>
        </w:rPr>
        <w:t>2024年高职单招章程</w:t>
      </w:r>
    </w:p>
    <w:p>
      <w:pPr>
        <w:numPr>
          <w:ilvl w:val="0"/>
          <w:numId w:val="1"/>
        </w:numPr>
        <w:spacing w:before="312" w:beforeLines="100" w:after="156" w:afterLines="50" w:line="68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总 则</w:t>
      </w:r>
    </w:p>
    <w:p>
      <w:pPr>
        <w:numPr>
          <w:ilvl w:val="0"/>
          <w:numId w:val="2"/>
        </w:num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根据《中华人民共和国教育法》《中华人民共和国高等教育法》等法律法规及教育部有关规定，依据湖南省教育厅《关于做好湖南省2024年高职（高专）院校单独招生工作的通知》（湘教发〔2023〕49号）有关要求，结合学院（校）单独招生工作（以下简称单招）实际，特制定本章程。</w:t>
      </w:r>
    </w:p>
    <w:p>
      <w:pPr>
        <w:numPr>
          <w:ilvl w:val="0"/>
          <w:numId w:val="2"/>
        </w:num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学校全称：</w:t>
      </w:r>
      <w:r>
        <w:rPr>
          <w:rFonts w:hint="eastAsia" w:ascii="等线" w:hAnsi="等线" w:eastAsia="仿宋" w:cs="仿宋"/>
          <w:sz w:val="28"/>
          <w:szCs w:val="28"/>
          <w:highlight w:val="none"/>
          <w:u w:val="single"/>
        </w:rPr>
        <w:t xml:space="preserve">  潇湘职业学院   </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办学地点：</w:t>
      </w:r>
      <w:r>
        <w:rPr>
          <w:rFonts w:hint="eastAsia" w:ascii="等线" w:hAnsi="等线" w:eastAsia="仿宋" w:cs="仿宋"/>
          <w:sz w:val="28"/>
          <w:szCs w:val="28"/>
          <w:highlight w:val="none"/>
          <w:u w:val="single"/>
        </w:rPr>
        <w:t xml:space="preserve">  湖南省娄底市经济技术开发区</w:t>
      </w:r>
      <w:r>
        <w:rPr>
          <w:rFonts w:ascii="等线" w:hAnsi="等线" w:eastAsia="仿宋" w:cs="仿宋"/>
          <w:sz w:val="28"/>
          <w:szCs w:val="28"/>
          <w:highlight w:val="none"/>
          <w:u w:val="single"/>
        </w:rPr>
        <w:t xml:space="preserve"> </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主管部门：</w:t>
      </w:r>
      <w:r>
        <w:rPr>
          <w:rFonts w:hint="eastAsia" w:ascii="等线" w:hAnsi="等线" w:eastAsia="仿宋" w:cs="仿宋"/>
          <w:sz w:val="28"/>
          <w:szCs w:val="28"/>
          <w:highlight w:val="none"/>
          <w:u w:val="single"/>
        </w:rPr>
        <w:t xml:space="preserve">  湖南省教育厅  </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办学层次：高职（专科）</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湖南省院校代号：</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4708</w:t>
      </w:r>
      <w:r>
        <w:rPr>
          <w:rFonts w:hint="eastAsia" w:ascii="等线" w:hAnsi="等线" w:eastAsia="仿宋" w:cs="仿宋"/>
          <w:sz w:val="28"/>
          <w:szCs w:val="28"/>
          <w:highlight w:val="none"/>
          <w:u w:val="single"/>
        </w:rPr>
        <w:t xml:space="preserve">  </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办学类型：</w:t>
      </w:r>
      <w:r>
        <w:rPr>
          <w:rFonts w:hint="eastAsia" w:ascii="等线" w:hAnsi="等线" w:eastAsia="仿宋" w:cs="仿宋"/>
          <w:sz w:val="28"/>
          <w:szCs w:val="28"/>
          <w:highlight w:val="none"/>
          <w:u w:val="single"/>
        </w:rPr>
        <w:t xml:space="preserve">   民办   </w:t>
      </w:r>
    </w:p>
    <w:p>
      <w:pPr>
        <w:numPr>
          <w:ilvl w:val="0"/>
          <w:numId w:val="2"/>
        </w:num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颁发学历证书的学校名称：</w:t>
      </w:r>
      <w:r>
        <w:rPr>
          <w:rFonts w:hint="eastAsia" w:ascii="等线" w:hAnsi="等线" w:eastAsia="仿宋" w:cs="仿宋"/>
          <w:sz w:val="28"/>
          <w:szCs w:val="28"/>
          <w:highlight w:val="none"/>
          <w:u w:val="single"/>
        </w:rPr>
        <w:t xml:space="preserve"> 潇湘职业学院 </w:t>
      </w:r>
      <w:r>
        <w:rPr>
          <w:rFonts w:hint="eastAsia" w:ascii="等线" w:hAnsi="等线" w:eastAsia="仿宋" w:cs="仿宋"/>
          <w:sz w:val="28"/>
          <w:szCs w:val="28"/>
          <w:highlight w:val="none"/>
        </w:rPr>
        <w:t>。证书种类：</w:t>
      </w:r>
      <w:r>
        <w:rPr>
          <w:rFonts w:hint="eastAsia" w:ascii="等线" w:hAnsi="等线" w:eastAsia="仿宋" w:cs="仿宋"/>
          <w:sz w:val="28"/>
          <w:szCs w:val="28"/>
          <w:highlight w:val="none"/>
          <w:u w:val="single"/>
        </w:rPr>
        <w:t>普通高等学校全日制专科毕业证书。</w:t>
      </w:r>
    </w:p>
    <w:p>
      <w:pPr>
        <w:numPr>
          <w:ilvl w:val="0"/>
          <w:numId w:val="2"/>
        </w:num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学院（校）单招工作遵循“公平竞争、公正选拔、公开透明”的原则，坚决执行招生政策规定和纪律要求，严格实施考试招生“阳光工程”。</w:t>
      </w:r>
    </w:p>
    <w:p>
      <w:pPr>
        <w:pStyle w:val="23"/>
        <w:numPr>
          <w:ilvl w:val="0"/>
          <w:numId w:val="2"/>
        </w:numPr>
        <w:rPr>
          <w:rFonts w:ascii="等线" w:hAnsi="等线" w:eastAsia="仿宋" w:cs="仿宋"/>
          <w:sz w:val="28"/>
          <w:szCs w:val="28"/>
          <w:highlight w:val="none"/>
          <w:u w:val="single"/>
          <w:lang w:val="en-US" w:bidi="ar-SA"/>
        </w:rPr>
      </w:pPr>
      <w:r>
        <w:rPr>
          <w:rFonts w:hint="eastAsia" w:ascii="等线" w:hAnsi="等线" w:eastAsia="仿宋" w:cs="仿宋"/>
          <w:sz w:val="28"/>
          <w:szCs w:val="28"/>
          <w:highlight w:val="none"/>
        </w:rPr>
        <w:t>学院（校）简介：</w:t>
      </w:r>
      <w:r>
        <w:rPr>
          <w:rFonts w:hint="eastAsia" w:ascii="等线" w:hAnsi="等线" w:eastAsia="仿宋" w:cs="仿宋"/>
          <w:sz w:val="28"/>
          <w:szCs w:val="28"/>
          <w:highlight w:val="none"/>
          <w:u w:val="single"/>
          <w:lang w:val="en-US"/>
        </w:rPr>
        <w:t xml:space="preserve"> </w:t>
      </w:r>
      <w:r>
        <w:rPr>
          <w:rFonts w:hint="eastAsia" w:ascii="等线" w:hAnsi="等线" w:eastAsia="仿宋" w:cs="仿宋"/>
          <w:sz w:val="28"/>
          <w:szCs w:val="28"/>
          <w:highlight w:val="none"/>
          <w:u w:val="single"/>
          <w:lang w:val="en-US" w:bidi="ar-SA"/>
        </w:rPr>
        <w:t>潇湘职业学院是经湖南省人民政府批准、教育部备案、列入国家统招计划的全日制普通高等院校。学校起源于1989年，2018年由中国企业500强之一的大汉控股集团独资举办，是一所培养高素质技术技能型专门人才的高等职业院校。</w:t>
      </w:r>
      <w:r>
        <w:rPr>
          <w:rFonts w:hint="eastAsia" w:ascii="等线" w:hAnsi="等线" w:eastAsia="仿宋" w:cs="仿宋"/>
          <w:sz w:val="28"/>
          <w:szCs w:val="28"/>
          <w:highlight w:val="none"/>
          <w:u w:val="single"/>
        </w:rPr>
        <w:t>学校坐落在“中国优秀旅游城市”、“全国文明城市”、素有“湘中明珠”之称的湖南省娄底市，占地面积548亩，总建筑面积19万余平方米。现有教职员工560余人，其中教授17人、副教授55人、博士8人、硕士82人、"双师型"教师193人，在校学生11000人。</w:t>
      </w:r>
    </w:p>
    <w:p>
      <w:pPr>
        <w:numPr>
          <w:ilvl w:val="0"/>
          <w:numId w:val="1"/>
        </w:numPr>
        <w:spacing w:before="156" w:beforeLines="50" w:after="156" w:afterLines="50" w:line="68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组织机构及职责</w:t>
      </w:r>
    </w:p>
    <w:p>
      <w:pPr>
        <w:numPr>
          <w:ilvl w:val="0"/>
          <w:numId w:val="2"/>
        </w:num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 xml:space="preserve"> 学院（校）</w:t>
      </w:r>
      <w:r>
        <w:rPr>
          <w:rFonts w:hint="eastAsia" w:ascii="等线" w:hAnsi="等线" w:eastAsia="仿宋" w:cs="仿宋"/>
          <w:sz w:val="28"/>
          <w:szCs w:val="28"/>
          <w:highlight w:val="none"/>
          <w:u w:val="single"/>
        </w:rPr>
        <w:t xml:space="preserve">  招生工作领导小组  </w:t>
      </w:r>
      <w:r>
        <w:rPr>
          <w:rFonts w:hint="eastAsia" w:ascii="等线" w:hAnsi="等线" w:eastAsia="仿宋" w:cs="仿宋"/>
          <w:sz w:val="28"/>
          <w:szCs w:val="28"/>
          <w:highlight w:val="none"/>
        </w:rPr>
        <w:t>负责研究决定本校单招规模确定、政策制订等重大事项，学校</w:t>
      </w:r>
      <w:r>
        <w:rPr>
          <w:rFonts w:hint="eastAsia" w:ascii="等线" w:hAnsi="等线" w:eastAsia="仿宋" w:cs="仿宋"/>
          <w:sz w:val="28"/>
          <w:szCs w:val="28"/>
          <w:highlight w:val="none"/>
          <w:u w:val="single"/>
        </w:rPr>
        <w:t xml:space="preserve"> 招生办公室 </w:t>
      </w:r>
      <w:r>
        <w:rPr>
          <w:rFonts w:hint="eastAsia" w:ascii="等线" w:hAnsi="等线" w:eastAsia="仿宋" w:cs="仿宋"/>
          <w:sz w:val="28"/>
          <w:szCs w:val="28"/>
          <w:highlight w:val="none"/>
        </w:rPr>
        <w:t xml:space="preserve">负责单招组织实施的日常工作，学校 </w:t>
      </w:r>
      <w:r>
        <w:rPr>
          <w:rFonts w:hint="eastAsia" w:ascii="等线" w:hAnsi="等线" w:eastAsia="仿宋" w:cs="仿宋"/>
          <w:sz w:val="28"/>
          <w:szCs w:val="28"/>
          <w:highlight w:val="none"/>
          <w:u w:val="single"/>
        </w:rPr>
        <w:t xml:space="preserve">  教务处  </w:t>
      </w:r>
      <w:r>
        <w:rPr>
          <w:rFonts w:hint="eastAsia" w:ascii="等线" w:hAnsi="等线" w:eastAsia="仿宋" w:cs="仿宋"/>
          <w:sz w:val="28"/>
          <w:szCs w:val="28"/>
          <w:highlight w:val="none"/>
        </w:rPr>
        <w:t>负责单招的考试组织工作。</w:t>
      </w:r>
    </w:p>
    <w:p>
      <w:pPr>
        <w:numPr>
          <w:ilvl w:val="0"/>
          <w:numId w:val="2"/>
        </w:num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学校纪委负责全程监督检查单招工作。</w:t>
      </w:r>
    </w:p>
    <w:p>
      <w:pPr>
        <w:numPr>
          <w:ilvl w:val="0"/>
          <w:numId w:val="1"/>
        </w:numPr>
        <w:spacing w:before="156" w:beforeLines="50" w:after="156" w:afterLines="50" w:line="68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单招报考</w:t>
      </w:r>
    </w:p>
    <w:p>
      <w:pPr>
        <w:numPr>
          <w:ilvl w:val="0"/>
          <w:numId w:val="2"/>
        </w:num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符合我省2024年普通高考（含对口招生考试）报名条件并已参加高考报名的人员</w:t>
      </w:r>
      <w:r>
        <w:rPr>
          <w:rFonts w:hint="eastAsia" w:ascii="等线" w:hAnsi="等线" w:eastAsia="仿宋" w:cs="仿宋"/>
          <w:sz w:val="28"/>
          <w:szCs w:val="28"/>
          <w:highlight w:val="none"/>
        </w:rPr>
        <w:t>均可报考</w:t>
      </w:r>
      <w:r>
        <w:rPr>
          <w:rFonts w:hint="eastAsia" w:ascii="等线" w:hAnsi="等线" w:eastAsia="仿宋" w:cs="仿宋"/>
          <w:sz w:val="28"/>
          <w:szCs w:val="28"/>
          <w:highlight w:val="none"/>
        </w:rPr>
        <w:t>。对于符合报名条件尚未参加高考报名、且有意愿报考单招的人员，须于2024年2月20日－22日到户籍所在县市区招生考试机构指定的报名点办理补报名手续。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全省单招统一报考和填报志愿时间为2024年2月27日－3月5日，实行网上报考和填报志愿。单招报考设第一志愿和第二志愿，考生可选择1－2所院校在指定网上平台进行报考。</w:t>
      </w:r>
    </w:p>
    <w:p>
      <w:pPr>
        <w:spacing w:line="6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sz w:val="28"/>
          <w:szCs w:val="28"/>
          <w:highlight w:val="none"/>
        </w:rPr>
        <w:t>。</w:t>
      </w:r>
      <w:r>
        <w:rPr>
          <w:rFonts w:hint="eastAsia" w:ascii="等线" w:hAnsi="等线" w:eastAsia="仿宋" w:cs="仿宋"/>
          <w:sz w:val="28"/>
          <w:szCs w:val="28"/>
          <w:highlight w:val="none"/>
        </w:rPr>
        <w:t>请考生在报考前关注本院（校）网站（</w:t>
      </w:r>
      <w:r>
        <w:rPr>
          <w:rFonts w:ascii="等线" w:hAnsi="等线" w:eastAsia="仿宋" w:cs="仿宋"/>
          <w:sz w:val="28"/>
          <w:szCs w:val="28"/>
          <w:highlight w:val="none"/>
        </w:rPr>
        <w:t>https://www.hnxxc.com/zhaosheng/</w:t>
      </w:r>
      <w:r>
        <w:rPr>
          <w:rFonts w:hint="eastAsia" w:ascii="等线" w:hAnsi="等线" w:eastAsia="仿宋" w:cs="仿宋"/>
          <w:sz w:val="28"/>
          <w:szCs w:val="28"/>
          <w:highlight w:val="none"/>
        </w:rPr>
        <w:t>）公布的有关信息。</w:t>
      </w:r>
    </w:p>
    <w:p>
      <w:pPr>
        <w:spacing w:line="6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第十条</w:t>
      </w:r>
      <w:r>
        <w:rPr>
          <w:rFonts w:hint="eastAsia" w:ascii="等线" w:hAnsi="等线" w:eastAsia="仿宋" w:cs="仿宋"/>
          <w:sz w:val="28"/>
          <w:szCs w:val="28"/>
          <w:highlight w:val="none"/>
        </w:rPr>
        <w:t xml:space="preserve"> 填报专业要求。</w:t>
      </w:r>
      <w:r>
        <w:rPr>
          <w:rFonts w:hint="eastAsia" w:ascii="等线" w:hAnsi="等线" w:eastAsia="仿宋" w:cs="仿宋"/>
          <w:sz w:val="28"/>
          <w:szCs w:val="28"/>
          <w:highlight w:val="none"/>
        </w:rPr>
        <w:t>我校实行专业组志愿，考生在填报我校志愿时，需选择专业组中的</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6</w:t>
      </w:r>
      <w:r>
        <w:rPr>
          <w:rFonts w:hint="eastAsia" w:ascii="等线" w:hAnsi="等线" w:eastAsia="仿宋" w:cs="仿宋"/>
          <w:sz w:val="28"/>
          <w:szCs w:val="28"/>
          <w:highlight w:val="none"/>
          <w:u w:val="single"/>
        </w:rPr>
        <w:t xml:space="preserve"> 个</w:t>
      </w:r>
      <w:r>
        <w:rPr>
          <w:rFonts w:hint="eastAsia" w:ascii="等线" w:hAnsi="等线" w:eastAsia="仿宋" w:cs="仿宋"/>
          <w:sz w:val="28"/>
          <w:szCs w:val="28"/>
          <w:highlight w:val="none"/>
        </w:rPr>
        <w:t>专业，并确定是否选择专业服从调剂。</w:t>
      </w:r>
    </w:p>
    <w:p>
      <w:pPr>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第十一条 </w:t>
      </w:r>
      <w:r>
        <w:rPr>
          <w:rFonts w:hint="eastAsia" w:ascii="等线" w:hAnsi="等线" w:eastAsia="仿宋" w:cs="仿宋"/>
          <w:sz w:val="28"/>
          <w:szCs w:val="28"/>
          <w:highlight w:val="none"/>
        </w:rPr>
        <w:t>社会人员身份认定。</w:t>
      </w:r>
      <w:r>
        <w:rPr>
          <w:rFonts w:hint="eastAsia" w:ascii="等线" w:hAnsi="等线" w:eastAsia="仿宋" w:cs="仿宋"/>
          <w:sz w:val="28"/>
          <w:szCs w:val="28"/>
          <w:highlight w:val="none"/>
        </w:rPr>
        <w:t>退役军人由户籍所在县（市、区）退役军人事务部门进行认定。</w:t>
      </w:r>
      <w:r>
        <w:rPr>
          <w:rFonts w:hint="eastAsia" w:ascii="等线" w:hAnsi="等线" w:eastAsia="仿宋" w:cs="仿宋"/>
          <w:sz w:val="28"/>
          <w:szCs w:val="28"/>
          <w:highlight w:val="none"/>
        </w:rPr>
        <w:t>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1.社会人员考生资格证明材料。所有社会人员考生均须提供本人身份证复印件及《湖南省2024年高职单招报名身份审核（界定）表》，同时分别提供以下材料：</w:t>
      </w:r>
      <w:r>
        <w:rPr>
          <w:rFonts w:hint="eastAsia" w:ascii="等线" w:hAnsi="等线" w:eastAsia="仿宋" w:cs="仿宋"/>
          <w:sz w:val="28"/>
          <w:szCs w:val="28"/>
          <w:highlight w:val="none"/>
        </w:rPr>
        <w:t>退役军人提供退出现役证（转业证）</w:t>
      </w:r>
      <w:r>
        <w:rPr>
          <w:rFonts w:hint="eastAsia" w:ascii="等线" w:hAnsi="等线" w:eastAsia="仿宋" w:cs="仿宋"/>
          <w:sz w:val="28"/>
          <w:szCs w:val="28"/>
          <w:highlight w:val="none"/>
        </w:rPr>
        <w:t>。</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2.材料提交时间及方式。考生须在2024年</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3</w:t>
      </w:r>
      <w:r>
        <w:rPr>
          <w:rFonts w:hint="eastAsia" w:ascii="等线" w:hAnsi="等线" w:eastAsia="仿宋" w:cs="仿宋"/>
          <w:sz w:val="28"/>
          <w:szCs w:val="28"/>
          <w:highlight w:val="none"/>
          <w:u w:val="single"/>
        </w:rPr>
        <w:t xml:space="preserve">   </w:t>
      </w:r>
      <w:r>
        <w:rPr>
          <w:rFonts w:hint="eastAsia" w:ascii="等线" w:hAnsi="等线" w:eastAsia="仿宋" w:cs="仿宋"/>
          <w:sz w:val="28"/>
          <w:szCs w:val="28"/>
          <w:highlight w:val="none"/>
        </w:rPr>
        <w:t>月</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15</w:t>
      </w:r>
      <w:r>
        <w:rPr>
          <w:rFonts w:hint="eastAsia" w:ascii="等线" w:hAnsi="等线" w:eastAsia="仿宋" w:cs="仿宋"/>
          <w:sz w:val="28"/>
          <w:szCs w:val="28"/>
          <w:highlight w:val="none"/>
          <w:u w:val="single"/>
        </w:rPr>
        <w:t xml:space="preserve">  </w:t>
      </w:r>
      <w:r>
        <w:rPr>
          <w:rFonts w:hint="eastAsia" w:ascii="等线" w:hAnsi="等线" w:eastAsia="仿宋" w:cs="仿宋"/>
          <w:sz w:val="28"/>
          <w:szCs w:val="28"/>
          <w:highlight w:val="none"/>
        </w:rPr>
        <w:t>日前将符合上述要求的证明材料，通过</w:t>
      </w:r>
      <w:r>
        <w:rPr>
          <w:rFonts w:hint="eastAsia" w:ascii="等线" w:hAnsi="等线" w:eastAsia="仿宋" w:cs="仿宋"/>
          <w:sz w:val="28"/>
          <w:szCs w:val="28"/>
          <w:highlight w:val="none"/>
          <w:u w:val="single"/>
        </w:rPr>
        <w:t xml:space="preserve">  书面  </w:t>
      </w:r>
      <w:r>
        <w:rPr>
          <w:rFonts w:hint="eastAsia" w:ascii="等线" w:hAnsi="等线" w:eastAsia="仿宋" w:cs="仿宋"/>
          <w:sz w:val="28"/>
          <w:szCs w:val="28"/>
          <w:highlight w:val="none"/>
        </w:rPr>
        <w:t>方式交由我校</w:t>
      </w:r>
      <w:r>
        <w:rPr>
          <w:rFonts w:hint="eastAsia" w:ascii="等线" w:hAnsi="等线" w:eastAsia="仿宋" w:cs="仿宋"/>
          <w:sz w:val="28"/>
          <w:szCs w:val="28"/>
          <w:highlight w:val="none"/>
          <w:u w:val="single"/>
        </w:rPr>
        <w:t xml:space="preserve">  招生办公室  </w:t>
      </w:r>
      <w:r>
        <w:rPr>
          <w:rFonts w:hint="eastAsia" w:ascii="等线" w:hAnsi="等线" w:eastAsia="仿宋" w:cs="仿宋"/>
          <w:sz w:val="28"/>
          <w:szCs w:val="28"/>
          <w:highlight w:val="none"/>
        </w:rPr>
        <w:t>审核</w:t>
      </w:r>
      <w:r>
        <w:rPr>
          <w:rFonts w:hint="eastAsia" w:ascii="等线" w:hAnsi="等线" w:eastAsia="仿宋" w:cs="仿宋"/>
          <w:sz w:val="28"/>
          <w:szCs w:val="28"/>
          <w:highlight w:val="none"/>
          <w:u w:val="single"/>
        </w:rPr>
        <w:t>（具体联系方式：0</w:t>
      </w:r>
      <w:r>
        <w:rPr>
          <w:rFonts w:ascii="等线" w:hAnsi="等线" w:eastAsia="仿宋" w:cs="仿宋"/>
          <w:sz w:val="28"/>
          <w:szCs w:val="28"/>
          <w:highlight w:val="none"/>
          <w:u w:val="single"/>
        </w:rPr>
        <w:t>738-8610888</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8610999</w:t>
      </w:r>
      <w:r>
        <w:rPr>
          <w:rFonts w:hint="eastAsia" w:ascii="等线" w:hAnsi="等线" w:eastAsia="仿宋" w:cs="仿宋"/>
          <w:sz w:val="28"/>
          <w:szCs w:val="28"/>
          <w:highlight w:val="none"/>
          <w:u w:val="single"/>
        </w:rPr>
        <w:t>）</w:t>
      </w:r>
      <w:r>
        <w:rPr>
          <w:rFonts w:hint="eastAsia" w:ascii="等线" w:hAnsi="等线" w:eastAsia="仿宋" w:cs="仿宋"/>
          <w:sz w:val="28"/>
          <w:szCs w:val="28"/>
          <w:highlight w:val="none"/>
        </w:rPr>
        <w:t>。</w:t>
      </w:r>
    </w:p>
    <w:p>
      <w:pPr>
        <w:numPr>
          <w:ilvl w:val="0"/>
          <w:numId w:val="1"/>
        </w:numPr>
        <w:spacing w:before="156" w:beforeLines="50" w:after="156" w:afterLines="50" w:line="68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单招计划及专业</w:t>
      </w:r>
    </w:p>
    <w:p>
      <w:pPr>
        <w:widowControl/>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第十二条 </w:t>
      </w:r>
      <w:r>
        <w:rPr>
          <w:rFonts w:hint="eastAsia" w:ascii="等线" w:hAnsi="等线" w:eastAsia="仿宋" w:cs="仿宋"/>
          <w:sz w:val="28"/>
          <w:szCs w:val="28"/>
          <w:highlight w:val="none"/>
        </w:rPr>
        <w:t>我校2024年单招总计划数为</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3010</w:t>
      </w:r>
      <w:r>
        <w:rPr>
          <w:rFonts w:hint="eastAsia" w:ascii="等线" w:hAnsi="等线" w:eastAsia="仿宋" w:cs="仿宋"/>
          <w:sz w:val="28"/>
          <w:szCs w:val="28"/>
          <w:highlight w:val="none"/>
          <w:u w:val="single"/>
        </w:rPr>
        <w:t xml:space="preserve"> 人</w:t>
      </w:r>
      <w:r>
        <w:rPr>
          <w:rFonts w:hint="eastAsia" w:ascii="等线" w:hAnsi="等线" w:eastAsia="仿宋" w:cs="仿宋"/>
          <w:sz w:val="28"/>
          <w:szCs w:val="28"/>
          <w:highlight w:val="none"/>
        </w:rPr>
        <w:t>，其中包含单列计划的退役军人</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10</w:t>
      </w:r>
      <w:r>
        <w:rPr>
          <w:rFonts w:hint="eastAsia" w:ascii="等线" w:hAnsi="等线" w:eastAsia="仿宋" w:cs="仿宋"/>
          <w:sz w:val="28"/>
          <w:szCs w:val="28"/>
          <w:highlight w:val="none"/>
          <w:u w:val="single"/>
        </w:rPr>
        <w:t xml:space="preserve">  </w:t>
      </w:r>
      <w:r>
        <w:rPr>
          <w:rFonts w:hint="eastAsia" w:ascii="等线" w:hAnsi="等线" w:eastAsia="仿宋" w:cs="仿宋"/>
          <w:sz w:val="28"/>
          <w:szCs w:val="28"/>
          <w:highlight w:val="none"/>
        </w:rPr>
        <w:t>人。本校2024年招生专业共</w:t>
      </w:r>
      <w:r>
        <w:rPr>
          <w:rFonts w:ascii="等线" w:hAnsi="等线" w:eastAsia="仿宋" w:cs="仿宋"/>
          <w:sz w:val="28"/>
          <w:szCs w:val="28"/>
          <w:highlight w:val="none"/>
          <w:u w:val="single"/>
        </w:rPr>
        <w:t xml:space="preserve"> 30 </w:t>
      </w:r>
      <w:r>
        <w:rPr>
          <w:rFonts w:hint="eastAsia" w:ascii="等线" w:hAnsi="等线" w:eastAsia="仿宋" w:cs="仿宋"/>
          <w:sz w:val="28"/>
          <w:szCs w:val="28"/>
          <w:highlight w:val="none"/>
        </w:rPr>
        <w:t>个。分专业单招计划及学费标准如下表，各专业最终学费标准以2</w:t>
      </w:r>
      <w:r>
        <w:rPr>
          <w:rFonts w:ascii="等线" w:hAnsi="等线" w:eastAsia="仿宋" w:cs="仿宋"/>
          <w:sz w:val="28"/>
          <w:szCs w:val="28"/>
          <w:highlight w:val="none"/>
        </w:rPr>
        <w:t>02</w:t>
      </w:r>
      <w:r>
        <w:rPr>
          <w:rFonts w:hint="eastAsia" w:ascii="等线" w:hAnsi="等线" w:eastAsia="仿宋" w:cs="仿宋"/>
          <w:sz w:val="28"/>
          <w:szCs w:val="28"/>
          <w:highlight w:val="none"/>
        </w:rPr>
        <w:t>4年湖南省物价主管部门审核为准。</w:t>
      </w:r>
    </w:p>
    <w:p>
      <w:pPr>
        <w:widowControl/>
        <w:spacing w:line="500" w:lineRule="exact"/>
        <w:ind w:firstLine="562" w:firstLineChars="200"/>
        <w:jc w:val="left"/>
        <w:rPr>
          <w:rFonts w:ascii="仿宋" w:hAnsi="仿宋" w:eastAsia="仿宋" w:cs="宋体"/>
          <w:b/>
          <w:kern w:val="0"/>
          <w:sz w:val="28"/>
          <w:highlight w:val="none"/>
        </w:rPr>
      </w:pPr>
    </w:p>
    <w:tbl>
      <w:tblPr>
        <w:tblStyle w:val="11"/>
        <w:tblW w:w="7954" w:type="dxa"/>
        <w:jc w:val="center"/>
        <w:tblLayout w:type="autofit"/>
        <w:tblCellMar>
          <w:top w:w="0" w:type="dxa"/>
          <w:left w:w="108" w:type="dxa"/>
          <w:bottom w:w="0" w:type="dxa"/>
          <w:right w:w="108" w:type="dxa"/>
        </w:tblCellMar>
      </w:tblPr>
      <w:tblGrid>
        <w:gridCol w:w="1249"/>
        <w:gridCol w:w="4671"/>
        <w:gridCol w:w="909"/>
        <w:gridCol w:w="1125"/>
      </w:tblGrid>
      <w:tr>
        <w:tblPrEx>
          <w:tblCellMar>
            <w:top w:w="0" w:type="dxa"/>
            <w:left w:w="108" w:type="dxa"/>
            <w:bottom w:w="0" w:type="dxa"/>
            <w:right w:w="108" w:type="dxa"/>
          </w:tblCellMar>
        </w:tblPrEx>
        <w:trPr>
          <w:trHeight w:val="662" w:hRule="exact"/>
          <w:jc w:val="center"/>
        </w:trPr>
        <w:tc>
          <w:tcPr>
            <w:tcW w:w="124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kern w:val="0"/>
                <w:szCs w:val="21"/>
                <w:highlight w:val="none"/>
              </w:rPr>
            </w:pPr>
            <w:r>
              <w:rPr>
                <w:rFonts w:hint="eastAsia" w:ascii="宋体" w:hAnsi="宋体" w:cs="宋体"/>
                <w:b/>
                <w:bCs/>
                <w:kern w:val="0"/>
                <w:szCs w:val="21"/>
                <w:highlight w:val="none"/>
                <w:lang w:bidi="ar"/>
              </w:rPr>
              <w:t>专业组</w:t>
            </w:r>
          </w:p>
        </w:tc>
        <w:tc>
          <w:tcPr>
            <w:tcW w:w="467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highlight w:val="none"/>
              </w:rPr>
            </w:pPr>
            <w:r>
              <w:rPr>
                <w:rFonts w:hint="eastAsia" w:ascii="宋体" w:hAnsi="宋体" w:cs="宋体"/>
                <w:b/>
                <w:bCs/>
                <w:kern w:val="0"/>
                <w:szCs w:val="21"/>
                <w:highlight w:val="none"/>
                <w:lang w:bidi="ar"/>
              </w:rPr>
              <w:t>专业名称</w:t>
            </w:r>
          </w:p>
        </w:tc>
        <w:tc>
          <w:tcPr>
            <w:tcW w:w="9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计划数</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highlight w:val="none"/>
              </w:rPr>
            </w:pPr>
            <w:r>
              <w:rPr>
                <w:rFonts w:hint="eastAsia" w:ascii="宋体" w:hAnsi="宋体" w:cs="宋体"/>
                <w:b/>
                <w:bCs/>
                <w:kern w:val="0"/>
                <w:szCs w:val="21"/>
                <w:highlight w:val="none"/>
                <w:lang w:bidi="ar"/>
              </w:rPr>
              <w:t>学费</w:t>
            </w:r>
          </w:p>
          <w:p>
            <w:pPr>
              <w:widowControl/>
              <w:jc w:val="center"/>
              <w:textAlignment w:val="center"/>
              <w:rPr>
                <w:rFonts w:ascii="宋体" w:hAnsi="宋体" w:cs="宋体"/>
                <w:b/>
                <w:kern w:val="0"/>
                <w:szCs w:val="21"/>
                <w:highlight w:val="none"/>
              </w:rPr>
            </w:pPr>
            <w:r>
              <w:rPr>
                <w:rFonts w:hint="eastAsia" w:ascii="宋体" w:hAnsi="宋体" w:cs="宋体"/>
                <w:b/>
                <w:bCs/>
                <w:kern w:val="0"/>
                <w:szCs w:val="21"/>
                <w:highlight w:val="none"/>
                <w:lang w:bidi="ar"/>
              </w:rPr>
              <w:t>（元/年）</w:t>
            </w:r>
          </w:p>
        </w:tc>
      </w:tr>
      <w:tr>
        <w:tblPrEx>
          <w:tblCellMar>
            <w:top w:w="0" w:type="dxa"/>
            <w:left w:w="108" w:type="dxa"/>
            <w:bottom w:w="0" w:type="dxa"/>
            <w:right w:w="108" w:type="dxa"/>
          </w:tblCellMar>
        </w:tblPrEx>
        <w:trPr>
          <w:trHeight w:val="425" w:hRule="exact"/>
          <w:jc w:val="center"/>
        </w:trPr>
        <w:tc>
          <w:tcPr>
            <w:tcW w:w="1249" w:type="dxa"/>
            <w:vMerge w:val="restart"/>
            <w:tcBorders>
              <w:top w:val="nil"/>
              <w:left w:val="single" w:color="auto" w:sz="4" w:space="0"/>
              <w:right w:val="single" w:color="auto" w:sz="4" w:space="0"/>
            </w:tcBorders>
            <w:noWrap/>
            <w:vAlign w:val="center"/>
          </w:tcPr>
          <w:p>
            <w:pPr>
              <w:widowControl/>
              <w:jc w:val="center"/>
              <w:textAlignment w:val="center"/>
              <w:rPr>
                <w:rFonts w:ascii="宋体" w:hAnsi="宋体" w:cs="宋体"/>
                <w:kern w:val="0"/>
                <w:szCs w:val="21"/>
                <w:highlight w:val="none"/>
              </w:rPr>
            </w:pPr>
            <w:r>
              <w:rPr>
                <w:rFonts w:hint="eastAsia" w:ascii="宋体" w:hAnsi="宋体" w:cs="宋体"/>
                <w:kern w:val="0"/>
                <w:szCs w:val="21"/>
                <w:highlight w:val="none"/>
                <w:lang w:bidi="ar"/>
              </w:rPr>
              <w:t>专业组一</w:t>
            </w: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zCs w:val="21"/>
                <w:highlight w:val="none"/>
              </w:rPr>
              <w:t>大数据技术(华为ICT</w:t>
            </w:r>
            <w:r>
              <w:rPr>
                <w:rFonts w:ascii="宋体" w:hAnsi="宋体"/>
                <w:spacing w:val="-4"/>
                <w:szCs w:val="21"/>
                <w:highlight w:val="none"/>
              </w:rPr>
              <w:t>方向)</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120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14700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zCs w:val="21"/>
                <w:highlight w:val="none"/>
              </w:rPr>
              <w:t>现代移动通信技术（华为数据中心方向</w:t>
            </w:r>
            <w:r>
              <w:rPr>
                <w:rFonts w:ascii="宋体" w:hAnsi="宋体"/>
                <w:spacing w:val="-10"/>
                <w:szCs w:val="21"/>
                <w:highlight w:val="none"/>
              </w:rPr>
              <w:t>）</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120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14400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计算机应用技术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150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计算机网络技术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150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大数据技术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广告艺术设计</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140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虚拟现实技术应用</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3"/>
                <w:szCs w:val="21"/>
                <w:highlight w:val="none"/>
              </w:rPr>
              <w:t>软件技术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100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建筑工程技术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120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11800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应用电子技术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1"/>
                <w:szCs w:val="21"/>
                <w:highlight w:val="none"/>
              </w:rPr>
              <w:t>城市轨道交通运营管理</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55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电气自动化技术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12000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工业机器人技术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90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15180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机电一体化技术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220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12000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模具设计与制造</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11800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汽车检测与维修技术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65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汽车制造与试验技术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3"/>
                <w:szCs w:val="21"/>
                <w:highlight w:val="none"/>
              </w:rPr>
              <w:t>数控技术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11800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新能源汽车技术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150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3"/>
                <w:szCs w:val="21"/>
                <w:highlight w:val="none"/>
              </w:rPr>
              <w:t>健康管理</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100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11800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3"/>
                <w:szCs w:val="21"/>
                <w:highlight w:val="none"/>
              </w:rPr>
              <w:t>电子商务</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140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13880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zCs w:val="21"/>
                <w:highlight w:val="none"/>
              </w:rPr>
              <w:t>市场营销（直播营销方向</w:t>
            </w:r>
            <w:r>
              <w:rPr>
                <w:rFonts w:ascii="宋体" w:hAnsi="宋体"/>
                <w:spacing w:val="-10"/>
                <w:szCs w:val="21"/>
                <w:highlight w:val="none"/>
              </w:rPr>
              <w:t>）</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30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11100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zCs w:val="21"/>
                <w:highlight w:val="none"/>
              </w:rPr>
              <w:t>市场营销（数字营销方向</w:t>
            </w:r>
            <w:r>
              <w:rPr>
                <w:rFonts w:ascii="宋体" w:hAnsi="宋体"/>
                <w:spacing w:val="-10"/>
                <w:szCs w:val="21"/>
                <w:highlight w:val="none"/>
              </w:rPr>
              <w:t>）</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30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11100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zCs w:val="21"/>
                <w:highlight w:val="none"/>
              </w:rPr>
              <w:t>现代物流管理（智慧物流方向</w:t>
            </w:r>
            <w:r>
              <w:rPr>
                <w:rFonts w:ascii="宋体" w:hAnsi="宋体"/>
                <w:spacing w:val="-10"/>
                <w:szCs w:val="21"/>
                <w:highlight w:val="none"/>
              </w:rPr>
              <w:t>）</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90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10300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大数据与会计</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100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11100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zCs w:val="21"/>
                <w:highlight w:val="none"/>
              </w:rPr>
              <w:t>商务英语（</w:t>
            </w:r>
            <w:r>
              <w:rPr>
                <w:rFonts w:ascii="宋体" w:hAnsi="宋体"/>
                <w:spacing w:val="-2"/>
                <w:szCs w:val="21"/>
                <w:highlight w:val="none"/>
              </w:rPr>
              <w:t>跨境直播方向)</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10300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1"/>
                <w:szCs w:val="21"/>
                <w:highlight w:val="none"/>
              </w:rPr>
              <w:t>旅游管理(新业态研学旅游方向)</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11100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3"/>
                <w:szCs w:val="21"/>
                <w:highlight w:val="none"/>
              </w:rPr>
              <w:t>学前教育</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350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12000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3"/>
                <w:szCs w:val="21"/>
                <w:highlight w:val="none"/>
              </w:rPr>
              <w:t>体育教育</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150</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3"/>
                <w:szCs w:val="21"/>
                <w:highlight w:val="none"/>
              </w:rPr>
              <w:t>表演艺术</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15300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1"/>
                <w:szCs w:val="21"/>
                <w:highlight w:val="none"/>
              </w:rPr>
              <w:t>婴幼儿托育服务与管理</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11400</w:t>
            </w:r>
          </w:p>
        </w:tc>
      </w:tr>
      <w:tr>
        <w:tblPrEx>
          <w:tblCellMar>
            <w:top w:w="0" w:type="dxa"/>
            <w:left w:w="108" w:type="dxa"/>
            <w:bottom w:w="0" w:type="dxa"/>
            <w:right w:w="108" w:type="dxa"/>
          </w:tblCellMar>
        </w:tblPrEx>
        <w:trPr>
          <w:trHeight w:val="425" w:hRule="exact"/>
          <w:jc w:val="center"/>
        </w:trPr>
        <w:tc>
          <w:tcPr>
            <w:tcW w:w="1249"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p>
        </w:tc>
        <w:tc>
          <w:tcPr>
            <w:tcW w:w="4671" w:type="dxa"/>
            <w:tcBorders>
              <w:top w:val="nil"/>
              <w:left w:val="nil"/>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民族传统体育</w:t>
            </w:r>
          </w:p>
        </w:tc>
        <w:tc>
          <w:tcPr>
            <w:tcW w:w="909" w:type="dxa"/>
            <w:tcBorders>
              <w:top w:val="single" w:color="auto" w:sz="4" w:space="0"/>
              <w:left w:val="nil"/>
              <w:bottom w:val="single" w:color="auto" w:sz="4" w:space="0"/>
              <w:right w:val="single" w:color="auto" w:sz="4" w:space="0"/>
            </w:tcBorders>
          </w:tcPr>
          <w:p>
            <w:pPr>
              <w:jc w:val="center"/>
              <w:rPr>
                <w:rFonts w:ascii="宋体" w:hAnsi="宋体"/>
                <w:spacing w:val="-2"/>
                <w:szCs w:val="21"/>
                <w:highlight w:val="none"/>
              </w:rPr>
            </w:pPr>
            <w:r>
              <w:rPr>
                <w:highlight w:val="none"/>
              </w:rPr>
              <w:t>45</w:t>
            </w:r>
          </w:p>
        </w:tc>
        <w:tc>
          <w:tcPr>
            <w:tcW w:w="1125" w:type="dxa"/>
            <w:tcBorders>
              <w:top w:val="nil"/>
              <w:left w:val="single" w:color="auto" w:sz="4" w:space="0"/>
              <w:bottom w:val="single" w:color="auto" w:sz="4" w:space="0"/>
              <w:right w:val="single" w:color="auto" w:sz="4" w:space="0"/>
            </w:tcBorders>
            <w:noWrap/>
          </w:tcPr>
          <w:p>
            <w:pPr>
              <w:jc w:val="center"/>
              <w:rPr>
                <w:rFonts w:ascii="宋体" w:hAnsi="宋体"/>
                <w:szCs w:val="21"/>
                <w:highlight w:val="none"/>
              </w:rPr>
            </w:pPr>
            <w:r>
              <w:rPr>
                <w:rFonts w:ascii="宋体" w:hAnsi="宋体"/>
                <w:spacing w:val="-2"/>
                <w:szCs w:val="21"/>
                <w:highlight w:val="none"/>
              </w:rPr>
              <w:t>10900</w:t>
            </w:r>
          </w:p>
        </w:tc>
      </w:tr>
      <w:tr>
        <w:tblPrEx>
          <w:tblCellMar>
            <w:top w:w="0" w:type="dxa"/>
            <w:left w:w="108" w:type="dxa"/>
            <w:bottom w:w="0" w:type="dxa"/>
            <w:right w:w="108" w:type="dxa"/>
          </w:tblCellMar>
        </w:tblPrEx>
        <w:trPr>
          <w:trHeight w:val="481" w:hRule="exact"/>
          <w:jc w:val="center"/>
        </w:trPr>
        <w:tc>
          <w:tcPr>
            <w:tcW w:w="5920" w:type="dxa"/>
            <w:gridSpan w:val="2"/>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ascii="宋体" w:hAnsi="宋体"/>
                <w:b/>
                <w:szCs w:val="21"/>
                <w:highlight w:val="none"/>
              </w:rPr>
            </w:pPr>
            <w:r>
              <w:rPr>
                <w:rFonts w:hint="eastAsia" w:ascii="宋体" w:hAnsi="宋体" w:cs="宋体"/>
                <w:b/>
                <w:bCs/>
                <w:kern w:val="0"/>
                <w:szCs w:val="21"/>
                <w:highlight w:val="none"/>
                <w:lang w:bidi="ar"/>
              </w:rPr>
              <w:t>单招总计划</w:t>
            </w:r>
            <w:bookmarkStart w:id="1" w:name="_GoBack"/>
            <w:bookmarkEnd w:id="1"/>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szCs w:val="21"/>
                <w:highlight w:val="none"/>
              </w:rPr>
            </w:pPr>
            <w:r>
              <w:rPr>
                <w:rFonts w:ascii="宋体" w:hAnsi="宋体"/>
                <w:b/>
                <w:szCs w:val="21"/>
                <w:highlight w:val="none"/>
              </w:rPr>
              <w:fldChar w:fldCharType="begin"/>
            </w:r>
            <w:r>
              <w:rPr>
                <w:rFonts w:ascii="宋体" w:hAnsi="宋体"/>
                <w:b/>
                <w:szCs w:val="21"/>
                <w:highlight w:val="none"/>
              </w:rPr>
              <w:instrText xml:space="preserve"> =SUM(ABOVE) </w:instrText>
            </w:r>
            <w:r>
              <w:rPr>
                <w:rFonts w:ascii="宋体" w:hAnsi="宋体"/>
                <w:b/>
                <w:szCs w:val="21"/>
                <w:highlight w:val="none"/>
              </w:rPr>
              <w:fldChar w:fldCharType="separate"/>
            </w:r>
            <w:r>
              <w:rPr>
                <w:rFonts w:ascii="宋体" w:hAnsi="宋体"/>
                <w:b/>
                <w:szCs w:val="21"/>
                <w:highlight w:val="none"/>
              </w:rPr>
              <w:t>3010</w:t>
            </w:r>
            <w:r>
              <w:rPr>
                <w:rFonts w:ascii="宋体" w:hAnsi="宋体"/>
                <w:b/>
                <w:szCs w:val="21"/>
                <w:highlight w:val="none"/>
              </w:rPr>
              <w:fldChar w:fldCharType="end"/>
            </w:r>
          </w:p>
        </w:tc>
        <w:tc>
          <w:tcPr>
            <w:tcW w:w="112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b/>
                <w:szCs w:val="21"/>
                <w:highlight w:val="none"/>
              </w:rPr>
            </w:pPr>
          </w:p>
        </w:tc>
      </w:tr>
    </w:tbl>
    <w:p>
      <w:pPr>
        <w:widowControl/>
        <w:spacing w:line="500" w:lineRule="exact"/>
        <w:ind w:firstLine="562" w:firstLineChars="200"/>
        <w:jc w:val="left"/>
        <w:rPr>
          <w:rFonts w:ascii="仿宋" w:hAnsi="仿宋" w:eastAsia="仿宋" w:cs="宋体"/>
          <w:kern w:val="0"/>
          <w:sz w:val="28"/>
          <w:highlight w:val="none"/>
        </w:rPr>
      </w:pPr>
      <w:r>
        <w:rPr>
          <w:rFonts w:hint="eastAsia" w:ascii="等线" w:hAnsi="等线" w:eastAsia="仿宋" w:cs="仿宋"/>
          <w:b/>
          <w:bCs/>
          <w:sz w:val="28"/>
          <w:szCs w:val="28"/>
          <w:highlight w:val="none"/>
        </w:rPr>
        <w:t xml:space="preserve">第十三条  </w:t>
      </w:r>
      <w:r>
        <w:rPr>
          <w:rFonts w:hint="eastAsia" w:ascii="仿宋" w:hAnsi="仿宋" w:eastAsia="仿宋" w:cs="宋体"/>
          <w:kern w:val="0"/>
          <w:sz w:val="28"/>
          <w:highlight w:val="none"/>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ascii="仿宋" w:hAnsi="仿宋" w:eastAsia="仿宋" w:cs="宋体"/>
          <w:kern w:val="0"/>
          <w:sz w:val="28"/>
          <w:highlight w:val="none"/>
        </w:rPr>
      </w:pPr>
      <w:r>
        <w:rPr>
          <w:rFonts w:hint="eastAsia" w:ascii="仿宋" w:hAnsi="仿宋" w:eastAsia="仿宋" w:cs="宋体"/>
          <w:kern w:val="0"/>
          <w:sz w:val="28"/>
          <w:highlight w:val="none"/>
        </w:rPr>
        <w:t>1.退役军人计划</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10</w:t>
      </w:r>
      <w:r>
        <w:rPr>
          <w:rFonts w:hint="eastAsia" w:ascii="等线" w:hAnsi="等线" w:eastAsia="仿宋" w:cs="仿宋"/>
          <w:sz w:val="28"/>
          <w:szCs w:val="28"/>
          <w:highlight w:val="none"/>
          <w:u w:val="single"/>
        </w:rPr>
        <w:t xml:space="preserve">  人</w:t>
      </w:r>
      <w:r>
        <w:rPr>
          <w:rFonts w:hint="eastAsia" w:ascii="等线" w:hAnsi="等线" w:eastAsia="仿宋" w:cs="仿宋"/>
          <w:sz w:val="28"/>
          <w:szCs w:val="28"/>
          <w:highlight w:val="none"/>
        </w:rPr>
        <w:t>，考生</w:t>
      </w:r>
      <w:r>
        <w:rPr>
          <w:rFonts w:hint="eastAsia" w:ascii="仿宋" w:hAnsi="仿宋" w:eastAsia="仿宋" w:cs="宋体"/>
          <w:kern w:val="0"/>
          <w:sz w:val="28"/>
          <w:highlight w:val="none"/>
        </w:rPr>
        <w:t>可在上表专业范围内自行选择报考。</w:t>
      </w:r>
    </w:p>
    <w:p>
      <w:pPr>
        <w:spacing w:line="600" w:lineRule="exact"/>
        <w:ind w:firstLine="562" w:firstLineChars="200"/>
        <w:rPr>
          <w:rFonts w:ascii="仿宋" w:hAnsi="仿宋" w:eastAsia="仿宋" w:cs="仿宋"/>
          <w:color w:val="000000"/>
          <w:sz w:val="28"/>
          <w:szCs w:val="28"/>
          <w:highlight w:val="none"/>
        </w:rPr>
      </w:pPr>
      <w:r>
        <w:rPr>
          <w:rFonts w:hint="eastAsia" w:ascii="等线" w:hAnsi="等线" w:eastAsia="仿宋" w:cs="宋体"/>
          <w:b/>
          <w:bCs/>
          <w:kern w:val="0"/>
          <w:sz w:val="28"/>
          <w:highlight w:val="none"/>
        </w:rPr>
        <w:t>第十四条</w:t>
      </w:r>
      <w:r>
        <w:rPr>
          <w:rFonts w:hint="eastAsia" w:ascii="等线" w:hAnsi="等线" w:eastAsia="仿宋" w:cs="宋体"/>
          <w:kern w:val="0"/>
          <w:sz w:val="28"/>
          <w:highlight w:val="none"/>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156" w:beforeLines="50" w:after="156" w:afterLines="50" w:line="68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单招考试</w:t>
      </w:r>
    </w:p>
    <w:p>
      <w:pPr>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第十五条 </w:t>
      </w:r>
      <w:r>
        <w:rPr>
          <w:rFonts w:hint="eastAsia" w:ascii="等线" w:hAnsi="等线" w:eastAsia="仿宋" w:cs="仿宋"/>
          <w:sz w:val="28"/>
          <w:szCs w:val="28"/>
          <w:highlight w:val="none"/>
        </w:rPr>
        <w:t>学校将本着公平、公正、择优录取的原则，按照国家教育考试相关规定，在省教育厅、省教育考试院的指导和监督下组织单招考试的相关工作。</w:t>
      </w:r>
    </w:p>
    <w:p>
      <w:pPr>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第十六条 </w:t>
      </w:r>
      <w:r>
        <w:rPr>
          <w:rFonts w:hint="eastAsia" w:ascii="等线" w:hAnsi="等线" w:eastAsia="仿宋" w:cs="仿宋"/>
          <w:sz w:val="28"/>
          <w:szCs w:val="28"/>
          <w:highlight w:val="none"/>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ascii="等线" w:hAnsi="等线" w:eastAsia="仿宋" w:cs="仿宋"/>
          <w:sz w:val="28"/>
          <w:szCs w:val="28"/>
          <w:highlight w:val="none"/>
          <w:u w:val="single"/>
        </w:rPr>
        <w:t>3</w:t>
      </w:r>
      <w:r>
        <w:rPr>
          <w:rFonts w:hint="eastAsia" w:ascii="等线" w:hAnsi="等线" w:eastAsia="仿宋" w:cs="仿宋"/>
          <w:sz w:val="28"/>
          <w:szCs w:val="28"/>
          <w:highlight w:val="none"/>
          <w:u w:val="single"/>
        </w:rPr>
        <w:t>个</w:t>
      </w:r>
      <w:r>
        <w:rPr>
          <w:rFonts w:hint="eastAsia" w:ascii="等线" w:hAnsi="等线" w:eastAsia="仿宋" w:cs="仿宋"/>
          <w:sz w:val="28"/>
          <w:szCs w:val="28"/>
          <w:highlight w:val="none"/>
        </w:rPr>
        <w:t>大类。</w:t>
      </w:r>
    </w:p>
    <w:p>
      <w:pPr>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第十七条 </w:t>
      </w:r>
      <w:r>
        <w:rPr>
          <w:rFonts w:hint="eastAsia" w:ascii="等线" w:hAnsi="等线" w:eastAsia="仿宋" w:cs="仿宋"/>
          <w:sz w:val="28"/>
          <w:szCs w:val="28"/>
          <w:highlight w:val="none"/>
        </w:rPr>
        <w:t>按照“文化素质+职业技能”方式，分类组织考试。根据考生的类别，考试按以下方式进行。</w:t>
      </w:r>
    </w:p>
    <w:p>
      <w:pPr>
        <w:spacing w:line="500" w:lineRule="exact"/>
        <w:ind w:firstLine="560" w:firstLineChars="200"/>
        <w:rPr>
          <w:rFonts w:ascii="等线" w:hAnsi="等线" w:eastAsia="仿宋" w:cs="仿宋"/>
          <w:color w:val="ED7D31" w:themeColor="accent2"/>
          <w:sz w:val="28"/>
          <w:szCs w:val="28"/>
          <w:highlight w:val="none"/>
          <w14:textFill>
            <w14:solidFill>
              <w14:schemeClr w14:val="accent2"/>
            </w14:solidFill>
          </w14:textFill>
        </w:rPr>
      </w:pPr>
      <w:r>
        <w:rPr>
          <w:rFonts w:hint="eastAsia" w:ascii="等线" w:hAnsi="等线" w:eastAsia="仿宋" w:cs="仿宋"/>
          <w:sz w:val="28"/>
          <w:szCs w:val="28"/>
          <w:highlight w:val="none"/>
        </w:rPr>
        <w:t>1.第一类：应届普通高中毕业考生。文化素质测试成绩以学生取得的高中学业水平合格性考试语文、数学、外语等科目有效成绩代替。职业技能测试由学校组织，学校分专业组，按照人才培养需要，分别采取</w:t>
      </w:r>
      <w:r>
        <w:rPr>
          <w:rFonts w:hint="eastAsia" w:ascii="等线" w:hAnsi="等线" w:eastAsia="仿宋" w:cs="仿宋"/>
          <w:sz w:val="28"/>
          <w:szCs w:val="28"/>
          <w:highlight w:val="none"/>
          <w:u w:val="single"/>
        </w:rPr>
        <w:t>笔试、技能展示等</w:t>
      </w:r>
      <w:r>
        <w:rPr>
          <w:rFonts w:hint="eastAsia" w:ascii="等线" w:hAnsi="等线" w:eastAsia="仿宋" w:cs="仿宋"/>
          <w:sz w:val="28"/>
          <w:szCs w:val="28"/>
          <w:highlight w:val="none"/>
        </w:rPr>
        <w:t>方式进行，重点考察学生的职业适应性。</w:t>
      </w:r>
    </w:p>
    <w:p>
      <w:pPr>
        <w:spacing w:line="500" w:lineRule="exact"/>
        <w:ind w:firstLine="560" w:firstLineChars="200"/>
        <w:rPr>
          <w:rFonts w:ascii="等线" w:hAnsi="等线" w:eastAsia="仿宋" w:cs="仿宋"/>
          <w:color w:val="ED7D31" w:themeColor="accent2"/>
          <w:sz w:val="28"/>
          <w:szCs w:val="28"/>
          <w:highlight w:val="none"/>
          <w14:textFill>
            <w14:solidFill>
              <w14:schemeClr w14:val="accent2"/>
            </w14:solidFill>
          </w14:textFill>
        </w:rPr>
      </w:pPr>
      <w:r>
        <w:rPr>
          <w:rFonts w:hint="eastAsia" w:ascii="等线" w:hAnsi="等线" w:eastAsia="仿宋" w:cs="仿宋"/>
          <w:sz w:val="28"/>
          <w:szCs w:val="28"/>
          <w:highlight w:val="none"/>
        </w:rPr>
        <w:t>2.第二类：中职考生和往届普通高中考生及同等学力考生（含普通高中学业水平合格性考试有效成绩不全的应届普通高中考生）。文化素质测试由学校依据《中等职业学校公共基础课课程标准》及高中教育阶段语文、数学、英语等有关内容进行命题及考试。职业技能测试由学校组织，学校分专业组，按照人才培养需要，分别采取</w:t>
      </w:r>
      <w:r>
        <w:rPr>
          <w:rFonts w:hint="eastAsia" w:ascii="等线" w:hAnsi="等线" w:eastAsia="仿宋" w:cs="仿宋"/>
          <w:sz w:val="28"/>
          <w:szCs w:val="28"/>
          <w:highlight w:val="none"/>
          <w:u w:val="single"/>
        </w:rPr>
        <w:t>笔试、技能展示等</w:t>
      </w:r>
      <w:r>
        <w:rPr>
          <w:rFonts w:hint="eastAsia" w:ascii="等线" w:hAnsi="等线" w:eastAsia="仿宋" w:cs="仿宋"/>
          <w:sz w:val="28"/>
          <w:szCs w:val="28"/>
          <w:highlight w:val="none"/>
        </w:rPr>
        <w:t>方式进行，重点考察学生的职业技能。</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3.</w:t>
      </w:r>
      <w:r>
        <w:rPr>
          <w:rFonts w:hint="eastAsia" w:ascii="等线" w:hAnsi="等线" w:eastAsia="仿宋" w:cs="仿宋"/>
          <w:sz w:val="28"/>
          <w:szCs w:val="28"/>
          <w:highlight w:val="none"/>
        </w:rPr>
        <w:t>第三类：退役军人。退役军人等社会人员考生免予文化素质测试。</w:t>
      </w:r>
      <w:r>
        <w:rPr>
          <w:rFonts w:hint="eastAsia" w:ascii="等线" w:hAnsi="等线" w:eastAsia="仿宋" w:cs="仿宋"/>
          <w:sz w:val="28"/>
          <w:szCs w:val="28"/>
          <w:highlight w:val="none"/>
        </w:rPr>
        <w:t>职业技能测试由学校组织，参照上述第二类考生职业技能测试方式，参加学校组织的职业技能测试。</w:t>
      </w:r>
    </w:p>
    <w:p>
      <w:pPr>
        <w:spacing w:line="500" w:lineRule="exact"/>
        <w:ind w:firstLine="562" w:firstLineChars="200"/>
        <w:rPr>
          <w:rFonts w:ascii="方正小标宋简体" w:hAnsi="方正小标宋简体" w:eastAsia="方正小标宋简体" w:cs="方正小标宋简体"/>
          <w:color w:val="FF0000"/>
          <w:sz w:val="28"/>
          <w:szCs w:val="28"/>
          <w:highlight w:val="none"/>
        </w:rPr>
      </w:pPr>
      <w:r>
        <w:rPr>
          <w:rFonts w:hint="eastAsia" w:ascii="等线" w:hAnsi="等线" w:eastAsia="仿宋" w:cs="仿宋"/>
          <w:b/>
          <w:bCs/>
          <w:sz w:val="28"/>
          <w:szCs w:val="28"/>
          <w:highlight w:val="none"/>
        </w:rPr>
        <w:t>第十八条</w:t>
      </w:r>
      <w:r>
        <w:rPr>
          <w:rFonts w:hint="eastAsia" w:ascii="等线" w:hAnsi="等线" w:eastAsia="仿宋" w:cs="仿宋"/>
          <w:sz w:val="28"/>
          <w:szCs w:val="28"/>
          <w:highlight w:val="none"/>
        </w:rPr>
        <w:t xml:space="preserve"> 考生的综合成绩为文化素质成绩+职业技能成绩。上述第一类、第二类考生的高职单招综合成绩（总成绩）满分为600分，</w:t>
      </w:r>
      <w:r>
        <w:rPr>
          <w:rFonts w:hint="eastAsia" w:ascii="等线" w:hAnsi="等线" w:eastAsia="仿宋" w:cs="仿宋"/>
          <w:sz w:val="28"/>
          <w:szCs w:val="28"/>
          <w:highlight w:val="none"/>
        </w:rPr>
        <w:t>第三类考生</w:t>
      </w:r>
      <w:r>
        <w:rPr>
          <w:rFonts w:hint="eastAsia" w:ascii="等线" w:hAnsi="等线" w:eastAsia="仿宋" w:cs="仿宋"/>
          <w:sz w:val="28"/>
          <w:szCs w:val="28"/>
          <w:highlight w:val="none"/>
        </w:rPr>
        <w:t>的综合成绩满分为300分。文化素质成绩与职业技能成绩占比为1：1，即分别各占300分。</w:t>
      </w:r>
    </w:p>
    <w:p>
      <w:pPr>
        <w:spacing w:line="500" w:lineRule="exact"/>
        <w:ind w:firstLine="562" w:firstLineChars="200"/>
        <w:rPr>
          <w:rFonts w:ascii="等线" w:hAnsi="等线" w:eastAsia="仿宋" w:cs="仿宋"/>
          <w:sz w:val="28"/>
          <w:szCs w:val="28"/>
          <w:highlight w:val="none"/>
          <w:u w:val="single"/>
        </w:rPr>
      </w:pPr>
      <w:r>
        <w:rPr>
          <w:rFonts w:hint="eastAsia" w:ascii="等线" w:hAnsi="等线" w:eastAsia="仿宋" w:cs="仿宋"/>
          <w:b/>
          <w:bCs/>
          <w:sz w:val="28"/>
          <w:szCs w:val="28"/>
          <w:highlight w:val="none"/>
        </w:rPr>
        <w:t>第十九条</w:t>
      </w:r>
      <w:r>
        <w:rPr>
          <w:rFonts w:hint="eastAsia" w:ascii="等线" w:hAnsi="等线" w:eastAsia="仿宋" w:cs="仿宋"/>
          <w:sz w:val="28"/>
          <w:szCs w:val="28"/>
          <w:highlight w:val="none"/>
        </w:rPr>
        <w:t xml:space="preserve">  我校针对第二类考生组织的文化素质测试为</w:t>
      </w:r>
      <w:r>
        <w:rPr>
          <w:rFonts w:hint="eastAsia" w:ascii="等线" w:hAnsi="等线" w:eastAsia="仿宋" w:cs="仿宋"/>
          <w:sz w:val="28"/>
          <w:szCs w:val="28"/>
          <w:highlight w:val="none"/>
          <w:u w:val="single"/>
        </w:rPr>
        <w:t>闭卷笔试方式。我校组织职业技能测试，所有专业均采取笔试+技能展示方式进行考察。</w:t>
      </w:r>
    </w:p>
    <w:p>
      <w:pPr>
        <w:spacing w:line="500" w:lineRule="exact"/>
        <w:ind w:firstLine="562" w:firstLineChars="200"/>
        <w:rPr>
          <w:rFonts w:ascii="方正小标宋简体" w:hAnsi="方正小标宋简体" w:eastAsia="方正小标宋简体" w:cs="方正小标宋简体"/>
          <w:color w:val="FF0000"/>
          <w:sz w:val="28"/>
          <w:szCs w:val="28"/>
          <w:highlight w:val="none"/>
        </w:rPr>
      </w:pPr>
      <w:r>
        <w:rPr>
          <w:rFonts w:hint="eastAsia" w:ascii="等线" w:hAnsi="等线" w:eastAsia="仿宋" w:cs="仿宋"/>
          <w:b/>
          <w:bCs/>
          <w:sz w:val="28"/>
          <w:szCs w:val="28"/>
          <w:highlight w:val="none"/>
        </w:rPr>
        <w:t>第二十条</w:t>
      </w:r>
      <w:r>
        <w:rPr>
          <w:rFonts w:hint="eastAsia" w:ascii="等线" w:hAnsi="等线" w:eastAsia="仿宋" w:cs="仿宋"/>
          <w:sz w:val="28"/>
          <w:szCs w:val="28"/>
          <w:highlight w:val="none"/>
        </w:rPr>
        <w:t xml:space="preserve">  我校文化素质测试、职业技能测试的有关说明、考试范围等，将在我校官网上进行公布。</w:t>
      </w:r>
    </w:p>
    <w:p>
      <w:pPr>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第二十一条 </w:t>
      </w:r>
      <w:r>
        <w:rPr>
          <w:rFonts w:hint="eastAsia" w:ascii="等线" w:hAnsi="等线" w:eastAsia="仿宋" w:cs="仿宋"/>
          <w:sz w:val="28"/>
          <w:szCs w:val="28"/>
          <w:highlight w:val="none"/>
        </w:rPr>
        <w:t xml:space="preserve"> 符合以下免试条件的考生在单招考试前向学校申请。其中，职业技能特长申请免技能测试的考生，须在</w:t>
      </w:r>
      <w:r>
        <w:rPr>
          <w:rFonts w:hint="eastAsia" w:ascii="等线" w:hAnsi="等线" w:eastAsia="仿宋" w:cs="仿宋"/>
          <w:sz w:val="28"/>
          <w:szCs w:val="28"/>
          <w:highlight w:val="none"/>
          <w:u w:val="single"/>
        </w:rPr>
        <w:t>202</w:t>
      </w:r>
      <w:r>
        <w:rPr>
          <w:rFonts w:ascii="等线" w:hAnsi="等线" w:eastAsia="仿宋" w:cs="仿宋"/>
          <w:sz w:val="28"/>
          <w:szCs w:val="28"/>
          <w:highlight w:val="none"/>
          <w:u w:val="single"/>
        </w:rPr>
        <w:t>4</w:t>
      </w:r>
      <w:r>
        <w:rPr>
          <w:rFonts w:hint="eastAsia" w:ascii="等线" w:hAnsi="等线" w:eastAsia="仿宋" w:cs="仿宋"/>
          <w:sz w:val="28"/>
          <w:szCs w:val="28"/>
          <w:highlight w:val="none"/>
          <w:u w:val="single"/>
        </w:rPr>
        <w:t>年</w:t>
      </w:r>
      <w:r>
        <w:rPr>
          <w:rFonts w:ascii="等线" w:hAnsi="等线" w:eastAsia="仿宋" w:cs="仿宋"/>
          <w:sz w:val="28"/>
          <w:szCs w:val="28"/>
          <w:highlight w:val="none"/>
          <w:u w:val="single"/>
        </w:rPr>
        <w:t>3</w:t>
      </w:r>
      <w:r>
        <w:rPr>
          <w:rFonts w:hint="eastAsia" w:ascii="等线" w:hAnsi="等线" w:eastAsia="仿宋" w:cs="仿宋"/>
          <w:sz w:val="28"/>
          <w:szCs w:val="28"/>
          <w:highlight w:val="none"/>
          <w:u w:val="single"/>
        </w:rPr>
        <w:t>月5日</w:t>
      </w:r>
      <w:r>
        <w:rPr>
          <w:rFonts w:hint="eastAsia" w:ascii="等线" w:hAnsi="等线" w:eastAsia="仿宋" w:cs="仿宋"/>
          <w:sz w:val="28"/>
          <w:szCs w:val="28"/>
          <w:highlight w:val="none"/>
        </w:rPr>
        <w:t>前</w:t>
      </w:r>
      <w:r>
        <w:rPr>
          <w:rFonts w:hint="eastAsia" w:ascii="等线" w:hAnsi="等线" w:eastAsia="仿宋" w:cs="仿宋"/>
          <w:sz w:val="28"/>
          <w:szCs w:val="28"/>
          <w:highlight w:val="none"/>
        </w:rPr>
        <w:t>，</w:t>
      </w:r>
      <w:r>
        <w:rPr>
          <w:rFonts w:hint="eastAsia" w:ascii="等线" w:hAnsi="等线" w:eastAsia="仿宋" w:cs="仿宋"/>
          <w:sz w:val="28"/>
          <w:szCs w:val="28"/>
          <w:highlight w:val="none"/>
          <w:u w:val="single"/>
        </w:rPr>
        <w:t>通过 书面 方式</w:t>
      </w:r>
      <w:r>
        <w:rPr>
          <w:rFonts w:hint="eastAsia" w:ascii="等线" w:hAnsi="等线" w:eastAsia="仿宋" w:cs="仿宋"/>
          <w:sz w:val="28"/>
          <w:szCs w:val="28"/>
          <w:highlight w:val="none"/>
        </w:rPr>
        <w:t>，将相关申请材料</w:t>
      </w:r>
      <w:r>
        <w:rPr>
          <w:rFonts w:hint="eastAsia" w:ascii="等线" w:hAnsi="等线" w:eastAsia="仿宋" w:cs="仿宋"/>
          <w:sz w:val="28"/>
          <w:szCs w:val="28"/>
          <w:highlight w:val="none"/>
          <w:u w:val="single"/>
        </w:rPr>
        <w:t>（含相关佐证材料）</w:t>
      </w:r>
      <w:r>
        <w:rPr>
          <w:rFonts w:hint="eastAsia" w:ascii="等线" w:hAnsi="等线" w:eastAsia="仿宋" w:cs="仿宋"/>
          <w:sz w:val="28"/>
          <w:szCs w:val="28"/>
          <w:highlight w:val="none"/>
        </w:rPr>
        <w:t>报我校的</w:t>
      </w:r>
      <w:r>
        <w:rPr>
          <w:rFonts w:hint="eastAsia" w:ascii="等线" w:hAnsi="等线" w:eastAsia="仿宋" w:cs="仿宋"/>
          <w:sz w:val="28"/>
          <w:szCs w:val="28"/>
          <w:highlight w:val="none"/>
          <w:u w:val="single"/>
        </w:rPr>
        <w:t xml:space="preserve"> 教务处</w:t>
      </w:r>
      <w:r>
        <w:rPr>
          <w:rFonts w:hint="eastAsia" w:ascii="等线" w:hAnsi="等线" w:eastAsia="仿宋" w:cs="仿宋"/>
          <w:sz w:val="28"/>
          <w:szCs w:val="28"/>
          <w:highlight w:val="none"/>
        </w:rPr>
        <w:t>审核。免试直接录取的考生不占用单招计划数，使用我校统招计划，在统招录取前完成录取手续办理，有关审核程序和方法由省教育考试院另行规定。</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00" w:lineRule="exact"/>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500" w:lineRule="exact"/>
        <w:ind w:firstLine="560" w:firstLineChars="200"/>
        <w:rPr>
          <w:rFonts w:ascii="方正小标宋简体" w:hAnsi="方正小标宋简体" w:eastAsia="方正小标宋简体" w:cs="方正小标宋简体"/>
          <w:color w:val="FF0000"/>
          <w:sz w:val="28"/>
          <w:szCs w:val="28"/>
          <w:highlight w:val="none"/>
        </w:rPr>
      </w:pPr>
      <w:r>
        <w:rPr>
          <w:rFonts w:hint="eastAsia" w:ascii="等线" w:hAnsi="等线" w:eastAsia="仿宋" w:cs="仿宋"/>
          <w:sz w:val="28"/>
          <w:szCs w:val="28"/>
          <w:highlight w:val="none"/>
        </w:rPr>
        <w:t>3.免试考生的录取专业与其获奖赛项对应（考生如需跨专业报考，则不能享受免试政策）。</w:t>
      </w:r>
    </w:p>
    <w:p>
      <w:pPr>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第二十二条</w:t>
      </w:r>
      <w:r>
        <w:rPr>
          <w:rFonts w:hint="eastAsia" w:ascii="等线" w:hAnsi="等线" w:eastAsia="仿宋" w:cs="仿宋"/>
          <w:sz w:val="28"/>
          <w:szCs w:val="28"/>
          <w:highlight w:val="none"/>
        </w:rPr>
        <w:t xml:space="preserve"> 学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spacing w:line="500" w:lineRule="exact"/>
        <w:ind w:firstLine="562" w:firstLineChars="200"/>
        <w:rPr>
          <w:rFonts w:ascii="仿宋" w:hAnsi="仿宋" w:eastAsia="仿宋" w:cs="仿宋"/>
          <w:sz w:val="28"/>
          <w:szCs w:val="28"/>
          <w:highlight w:val="none"/>
          <w:u w:val="single"/>
        </w:rPr>
      </w:pPr>
      <w:r>
        <w:rPr>
          <w:rFonts w:hint="eastAsia" w:ascii="等线" w:hAnsi="等线" w:eastAsia="仿宋" w:cs="仿宋"/>
          <w:b/>
          <w:bCs/>
          <w:sz w:val="28"/>
          <w:szCs w:val="28"/>
          <w:highlight w:val="none"/>
        </w:rPr>
        <w:t xml:space="preserve">第二十三条 </w:t>
      </w:r>
      <w:r>
        <w:rPr>
          <w:rFonts w:hint="eastAsia" w:ascii="等线" w:hAnsi="等线" w:eastAsia="仿宋" w:cs="仿宋"/>
          <w:sz w:val="28"/>
          <w:szCs w:val="28"/>
          <w:highlight w:val="none"/>
        </w:rPr>
        <w:t>根据物价部门统一规定，高职单招的报考费为80元/生。报考我校第</w:t>
      </w:r>
      <w:r>
        <w:rPr>
          <w:rFonts w:hint="eastAsia" w:ascii="仿宋" w:hAnsi="仿宋" w:eastAsia="仿宋" w:cs="仿宋"/>
          <w:sz w:val="28"/>
          <w:szCs w:val="28"/>
          <w:highlight w:val="none"/>
        </w:rPr>
        <w:t>一志愿的考生费缴纳时间为</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3</w:t>
      </w:r>
      <w:r>
        <w:rPr>
          <w:rFonts w:hint="eastAsia" w:ascii="等线" w:hAnsi="等线" w:eastAsia="仿宋" w:cs="仿宋"/>
          <w:sz w:val="28"/>
          <w:szCs w:val="28"/>
          <w:highlight w:val="none"/>
          <w:u w:val="single"/>
        </w:rPr>
        <w:t>月1</w:t>
      </w:r>
      <w:r>
        <w:rPr>
          <w:rFonts w:ascii="等线" w:hAnsi="等线" w:eastAsia="仿宋" w:cs="仿宋"/>
          <w:sz w:val="28"/>
          <w:szCs w:val="28"/>
          <w:highlight w:val="none"/>
          <w:u w:val="single"/>
        </w:rPr>
        <w:t>5</w:t>
      </w:r>
      <w:r>
        <w:rPr>
          <w:rFonts w:hint="eastAsia" w:ascii="等线" w:hAnsi="等线" w:eastAsia="仿宋" w:cs="仿宋"/>
          <w:sz w:val="28"/>
          <w:szCs w:val="28"/>
          <w:highlight w:val="none"/>
          <w:u w:val="single"/>
        </w:rPr>
        <w:t>日1</w:t>
      </w:r>
      <w:r>
        <w:rPr>
          <w:rFonts w:ascii="等线" w:hAnsi="等线" w:eastAsia="仿宋" w:cs="仿宋"/>
          <w:sz w:val="28"/>
          <w:szCs w:val="28"/>
          <w:highlight w:val="none"/>
          <w:u w:val="single"/>
        </w:rPr>
        <w:t>7</w:t>
      </w:r>
      <w:r>
        <w:rPr>
          <w:rFonts w:hint="eastAsia" w:ascii="等线" w:hAnsi="等线" w:eastAsia="仿宋" w:cs="仿宋"/>
          <w:sz w:val="28"/>
          <w:szCs w:val="28"/>
          <w:highlight w:val="none"/>
          <w:u w:val="single"/>
        </w:rPr>
        <w:t>时前（具体时间以缴费通知为准），</w:t>
      </w:r>
      <w:r>
        <w:rPr>
          <w:rFonts w:hint="eastAsia" w:ascii="仿宋" w:hAnsi="仿宋" w:eastAsia="仿宋" w:cs="仿宋"/>
          <w:sz w:val="28"/>
          <w:szCs w:val="28"/>
          <w:highlight w:val="none"/>
        </w:rPr>
        <w:t xml:space="preserve">缴纳方式为 </w:t>
      </w:r>
      <w:r>
        <w:rPr>
          <w:rFonts w:hint="eastAsia" w:ascii="仿宋" w:hAnsi="仿宋" w:eastAsia="仿宋" w:cs="仿宋"/>
          <w:sz w:val="28"/>
          <w:szCs w:val="28"/>
          <w:highlight w:val="none"/>
          <w:u w:val="single"/>
        </w:rPr>
        <w:t xml:space="preserve"> 学校官方微信公众号：潇湘职业学院  </w:t>
      </w:r>
      <w:r>
        <w:rPr>
          <w:rFonts w:hint="eastAsia" w:ascii="仿宋" w:hAnsi="仿宋" w:eastAsia="仿宋" w:cs="仿宋"/>
          <w:sz w:val="28"/>
          <w:szCs w:val="28"/>
          <w:highlight w:val="none"/>
        </w:rPr>
        <w:t>。未在规定时间内缴费的，不得参加我校单招考试及录取。缴费成功的考生于2024年</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3</w:t>
      </w:r>
      <w:r>
        <w:rPr>
          <w:rFonts w:hint="eastAsia" w:ascii="等线" w:hAnsi="等线"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12</w:t>
      </w:r>
      <w:r>
        <w:rPr>
          <w:rFonts w:hint="eastAsia" w:ascii="等线" w:hAnsi="等线" w:eastAsia="仿宋" w:cs="仿宋"/>
          <w:sz w:val="28"/>
          <w:szCs w:val="28"/>
          <w:highlight w:val="none"/>
          <w:u w:val="single"/>
        </w:rPr>
        <w:t xml:space="preserve"> </w:t>
      </w:r>
      <w:r>
        <w:rPr>
          <w:rFonts w:hint="eastAsia" w:ascii="仿宋" w:hAnsi="仿宋" w:eastAsia="仿宋" w:cs="仿宋"/>
          <w:sz w:val="28"/>
          <w:szCs w:val="28"/>
          <w:highlight w:val="none"/>
        </w:rPr>
        <w:t>日-</w:t>
      </w:r>
      <w:r>
        <w:rPr>
          <w:rFonts w:ascii="仿宋" w:hAnsi="仿宋" w:eastAsia="仿宋" w:cs="仿宋"/>
          <w:sz w:val="28"/>
          <w:szCs w:val="28"/>
          <w:highlight w:val="none"/>
          <w:u w:val="single"/>
        </w:rPr>
        <w:t xml:space="preserve"> 15 </w:t>
      </w:r>
      <w:r>
        <w:rPr>
          <w:rFonts w:hint="eastAsia" w:ascii="仿宋" w:hAnsi="仿宋" w:eastAsia="仿宋" w:cs="仿宋"/>
          <w:sz w:val="28"/>
          <w:szCs w:val="28"/>
          <w:highlight w:val="none"/>
        </w:rPr>
        <w:t>日</w:t>
      </w:r>
      <w:r>
        <w:rPr>
          <w:rFonts w:hint="eastAsia" w:ascii="等线" w:hAnsi="等线" w:eastAsia="仿宋" w:cs="仿宋"/>
          <w:sz w:val="28"/>
          <w:szCs w:val="28"/>
          <w:highlight w:val="none"/>
          <w:u w:val="single"/>
        </w:rPr>
        <w:t>（具体时间以缴费通知为准）</w:t>
      </w:r>
      <w:r>
        <w:rPr>
          <w:rFonts w:hint="eastAsia" w:ascii="仿宋" w:hAnsi="仿宋" w:eastAsia="仿宋" w:cs="仿宋"/>
          <w:sz w:val="28"/>
          <w:szCs w:val="28"/>
          <w:highlight w:val="none"/>
        </w:rPr>
        <w:t>登录</w:t>
      </w:r>
      <w:r>
        <w:rPr>
          <w:rFonts w:hint="eastAsia" w:ascii="仿宋" w:hAnsi="仿宋" w:eastAsia="仿宋" w:cs="仿宋"/>
          <w:sz w:val="28"/>
          <w:szCs w:val="28"/>
          <w:highlight w:val="none"/>
          <w:u w:val="single"/>
        </w:rPr>
        <w:t xml:space="preserve"> 学校官方微信公众号：潇湘职业学院</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自行打印准考证。第二志愿考生缴费及准考证打印时间学校另行公布。</w:t>
      </w:r>
      <w:r>
        <w:rPr>
          <w:rFonts w:hint="eastAsia" w:ascii="等线" w:hAnsi="等线" w:eastAsia="仿宋" w:cs="仿宋"/>
          <w:sz w:val="28"/>
          <w:szCs w:val="28"/>
          <w:highlight w:val="none"/>
        </w:rPr>
        <w:t>缴费咨询电话：</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0738</w:t>
      </w:r>
      <w:r>
        <w:rPr>
          <w:rFonts w:hint="eastAsia" w:ascii="等线" w:hAnsi="等线" w:eastAsia="仿宋" w:cs="仿宋"/>
          <w:sz w:val="28"/>
          <w:szCs w:val="28"/>
          <w:highlight w:val="none"/>
          <w:u w:val="single"/>
        </w:rPr>
        <w:t>-</w:t>
      </w:r>
      <w:r>
        <w:rPr>
          <w:rFonts w:ascii="等线" w:hAnsi="等线" w:eastAsia="仿宋" w:cs="仿宋"/>
          <w:sz w:val="28"/>
          <w:szCs w:val="28"/>
          <w:highlight w:val="none"/>
          <w:u w:val="single"/>
        </w:rPr>
        <w:t>8610888 8610999</w:t>
      </w:r>
      <w:r>
        <w:rPr>
          <w:rFonts w:hint="eastAsia" w:ascii="等线" w:hAnsi="等线" w:eastAsia="仿宋" w:cs="仿宋"/>
          <w:sz w:val="28"/>
          <w:szCs w:val="28"/>
          <w:highlight w:val="none"/>
          <w:u w:val="single"/>
        </w:rPr>
        <w:t xml:space="preserve"> </w:t>
      </w:r>
      <w:r>
        <w:rPr>
          <w:rFonts w:hint="eastAsia" w:ascii="等线" w:hAnsi="等线" w:eastAsia="仿宋" w:cs="仿宋"/>
          <w:sz w:val="28"/>
          <w:szCs w:val="28"/>
          <w:highlight w:val="none"/>
        </w:rPr>
        <w:t>，打印准考证咨询电话：</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0738</w:t>
      </w:r>
      <w:r>
        <w:rPr>
          <w:rFonts w:hint="eastAsia" w:ascii="等线" w:hAnsi="等线" w:eastAsia="仿宋" w:cs="仿宋"/>
          <w:sz w:val="28"/>
          <w:szCs w:val="28"/>
          <w:highlight w:val="none"/>
          <w:u w:val="single"/>
        </w:rPr>
        <w:t>-</w:t>
      </w:r>
      <w:r>
        <w:rPr>
          <w:rFonts w:ascii="等线" w:hAnsi="等线" w:eastAsia="仿宋" w:cs="仿宋"/>
          <w:sz w:val="28"/>
          <w:szCs w:val="28"/>
          <w:highlight w:val="none"/>
          <w:u w:val="single"/>
        </w:rPr>
        <w:t>8610888  8610999</w:t>
      </w:r>
      <w:r>
        <w:rPr>
          <w:rFonts w:hint="eastAsia" w:ascii="等线" w:hAnsi="等线" w:eastAsia="仿宋" w:cs="仿宋"/>
          <w:sz w:val="28"/>
          <w:szCs w:val="28"/>
          <w:highlight w:val="none"/>
          <w:u w:val="single"/>
        </w:rPr>
        <w:t xml:space="preserve"> </w:t>
      </w:r>
      <w:r>
        <w:rPr>
          <w:rFonts w:hint="eastAsia" w:ascii="等线" w:hAnsi="等线" w:eastAsia="仿宋" w:cs="仿宋"/>
          <w:sz w:val="28"/>
          <w:szCs w:val="28"/>
          <w:highlight w:val="none"/>
        </w:rPr>
        <w:t>。</w:t>
      </w:r>
      <w:r>
        <w:rPr>
          <w:rFonts w:hint="eastAsia" w:ascii="仿宋" w:hAnsi="仿宋" w:eastAsia="仿宋" w:cs="仿宋"/>
          <w:sz w:val="28"/>
          <w:szCs w:val="28"/>
          <w:highlight w:val="none"/>
        </w:rPr>
        <w:t>缴费及</w:t>
      </w:r>
      <w:r>
        <w:rPr>
          <w:rFonts w:hint="eastAsia" w:ascii="等线" w:hAnsi="等线" w:eastAsia="仿宋" w:cs="仿宋"/>
          <w:sz w:val="28"/>
          <w:szCs w:val="28"/>
          <w:highlight w:val="none"/>
        </w:rPr>
        <w:t>准考证打印</w:t>
      </w:r>
      <w:r>
        <w:rPr>
          <w:rFonts w:hint="eastAsia" w:ascii="仿宋" w:hAnsi="仿宋" w:eastAsia="仿宋" w:cs="仿宋"/>
          <w:sz w:val="28"/>
          <w:szCs w:val="28"/>
          <w:highlight w:val="none"/>
        </w:rPr>
        <w:t>流程详见</w:t>
      </w:r>
      <w:r>
        <w:rPr>
          <w:rFonts w:hint="eastAsia" w:ascii="仿宋" w:hAnsi="仿宋" w:eastAsia="仿宋" w:cs="仿宋"/>
          <w:sz w:val="28"/>
          <w:szCs w:val="28"/>
          <w:highlight w:val="none"/>
          <w:u w:val="single"/>
        </w:rPr>
        <w:t>学校单独招生网，网址：</w:t>
      </w:r>
      <w:r>
        <w:rPr>
          <w:rFonts w:ascii="等线" w:hAnsi="等线" w:eastAsia="仿宋" w:cs="仿宋"/>
          <w:sz w:val="28"/>
          <w:szCs w:val="28"/>
          <w:highlight w:val="none"/>
          <w:u w:val="single"/>
        </w:rPr>
        <w:t>https://www.hnxxc.com/zhaosheng</w:t>
      </w:r>
      <w:r>
        <w:rPr>
          <w:rFonts w:hint="eastAsia" w:ascii="等线" w:hAnsi="等线" w:eastAsia="仿宋" w:cs="仿宋"/>
          <w:sz w:val="28"/>
          <w:szCs w:val="28"/>
          <w:highlight w:val="none"/>
          <w:u w:val="single"/>
        </w:rPr>
        <w:t xml:space="preserve"> </w:t>
      </w:r>
      <w:r>
        <w:rPr>
          <w:rFonts w:hint="eastAsia" w:ascii="等线" w:hAnsi="等线" w:eastAsia="仿宋" w:cs="仿宋"/>
          <w:sz w:val="28"/>
          <w:szCs w:val="28"/>
          <w:highlight w:val="none"/>
        </w:rPr>
        <w:t>。</w:t>
      </w:r>
    </w:p>
    <w:p>
      <w:pPr>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第二十四条</w:t>
      </w:r>
      <w:r>
        <w:rPr>
          <w:rFonts w:hint="eastAsia" w:ascii="等线" w:hAnsi="等线" w:eastAsia="仿宋" w:cs="仿宋"/>
          <w:sz w:val="28"/>
          <w:szCs w:val="28"/>
          <w:highlight w:val="none"/>
        </w:rPr>
        <w:t xml:space="preserve"> 我校单招考试在省教育考试院的指导下，参照国家教育考试规定进行组织。在学校招生工作领导小组的统筹下，教务、招生、</w:t>
      </w:r>
      <w:r>
        <w:rPr>
          <w:rFonts w:hint="eastAsia" w:ascii="等线" w:hAnsi="等线" w:eastAsia="仿宋" w:cs="仿宋"/>
          <w:sz w:val="28"/>
          <w:szCs w:val="28"/>
          <w:highlight w:val="none"/>
          <w:u w:val="single"/>
        </w:rPr>
        <w:t>后勤、武保、纪委监察等</w:t>
      </w:r>
      <w:r>
        <w:rPr>
          <w:rFonts w:hint="eastAsia" w:ascii="等线" w:hAnsi="等线" w:eastAsia="仿宋" w:cs="仿宋"/>
          <w:sz w:val="28"/>
          <w:szCs w:val="28"/>
          <w:highlight w:val="none"/>
        </w:rPr>
        <w:t>部门共同组织考务工作。具体由</w:t>
      </w:r>
      <w:r>
        <w:rPr>
          <w:rFonts w:hint="eastAsia" w:ascii="等线" w:hAnsi="等线" w:eastAsia="仿宋" w:cs="仿宋"/>
          <w:sz w:val="28"/>
          <w:szCs w:val="28"/>
          <w:highlight w:val="none"/>
          <w:u w:val="single"/>
        </w:rPr>
        <w:t xml:space="preserve">教务处 </w:t>
      </w:r>
      <w:r>
        <w:rPr>
          <w:rFonts w:hint="eastAsia" w:ascii="等线" w:hAnsi="等线" w:eastAsia="仿宋" w:cs="仿宋"/>
          <w:sz w:val="28"/>
          <w:szCs w:val="28"/>
          <w:highlight w:val="none"/>
        </w:rPr>
        <w:t>牵头组织命题，并负责其保密工作；</w:t>
      </w:r>
      <w:r>
        <w:rPr>
          <w:rFonts w:hint="eastAsia" w:ascii="等线" w:hAnsi="等线" w:eastAsia="仿宋" w:cs="仿宋"/>
          <w:sz w:val="28"/>
          <w:szCs w:val="28"/>
          <w:highlight w:val="none"/>
          <w:u w:val="single"/>
        </w:rPr>
        <w:t xml:space="preserve"> 教务处 </w:t>
      </w:r>
      <w:r>
        <w:rPr>
          <w:rFonts w:hint="eastAsia" w:ascii="等线" w:hAnsi="等线" w:eastAsia="仿宋" w:cs="仿宋"/>
          <w:sz w:val="28"/>
          <w:szCs w:val="28"/>
          <w:highlight w:val="none"/>
        </w:rPr>
        <w:t>负责按国考要求制定具体的组考方案，根据报考人数合理安排考场并组织有序考试；</w:t>
      </w:r>
      <w:r>
        <w:rPr>
          <w:rFonts w:hint="eastAsia" w:ascii="等线" w:hAnsi="等线" w:eastAsia="仿宋" w:cs="仿宋"/>
          <w:sz w:val="28"/>
          <w:szCs w:val="28"/>
          <w:highlight w:val="none"/>
          <w:u w:val="single"/>
        </w:rPr>
        <w:t xml:space="preserve">   教务处 </w:t>
      </w:r>
      <w:r>
        <w:rPr>
          <w:rFonts w:hint="eastAsia" w:ascii="等线" w:hAnsi="等线" w:eastAsia="仿宋" w:cs="仿宋"/>
          <w:sz w:val="28"/>
          <w:szCs w:val="28"/>
          <w:highlight w:val="none"/>
        </w:rPr>
        <w:t xml:space="preserve"> 组织相关专家参照湖南省普通高考评卷及登分工作有关要求，制定科学合理的评判标准，加大信息公开及结果公示力度，确保考试评判工作公正、透明。</w:t>
      </w:r>
    </w:p>
    <w:p>
      <w:pPr>
        <w:numPr>
          <w:ilvl w:val="0"/>
          <w:numId w:val="1"/>
        </w:numPr>
        <w:spacing w:before="156" w:beforeLines="50" w:after="156" w:afterLines="50" w:line="68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单招录取</w:t>
      </w:r>
    </w:p>
    <w:p>
      <w:pPr>
        <w:widowControl/>
        <w:shd w:val="clear" w:color="auto" w:fill="FFFFFF"/>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第二十五条</w:t>
      </w:r>
      <w:r>
        <w:rPr>
          <w:rFonts w:hint="eastAsia" w:ascii="等线" w:hAnsi="等线" w:eastAsia="仿宋" w:cs="仿宋"/>
          <w:sz w:val="28"/>
          <w:szCs w:val="28"/>
          <w:highlight w:val="none"/>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highlight w:val="none"/>
        </w:rPr>
        <w:t>成</w:t>
      </w:r>
      <w:r>
        <w:rPr>
          <w:rFonts w:hint="eastAsia" w:ascii="等线" w:hAnsi="等线" w:eastAsia="仿宋" w:cs="仿宋"/>
          <w:sz w:val="28"/>
          <w:szCs w:val="28"/>
          <w:highlight w:val="none"/>
        </w:rPr>
        <w:t>绩不全</w:t>
      </w:r>
      <w:r>
        <w:rPr>
          <w:rFonts w:ascii="等线" w:hAnsi="等线" w:eastAsia="仿宋" w:cs="仿宋"/>
          <w:sz w:val="28"/>
          <w:szCs w:val="28"/>
          <w:highlight w:val="none"/>
        </w:rPr>
        <w:t>的</w:t>
      </w:r>
      <w:r>
        <w:rPr>
          <w:rFonts w:hint="eastAsia" w:ascii="等线" w:hAnsi="等线" w:eastAsia="仿宋" w:cs="仿宋"/>
          <w:sz w:val="28"/>
          <w:szCs w:val="28"/>
          <w:highlight w:val="none"/>
        </w:rPr>
        <w:t>应届普通高中毕业考生</w:t>
      </w:r>
      <w:r>
        <w:rPr>
          <w:rFonts w:ascii="等线" w:hAnsi="等线" w:eastAsia="仿宋" w:cs="仿宋"/>
          <w:sz w:val="28"/>
          <w:szCs w:val="28"/>
          <w:highlight w:val="none"/>
        </w:rPr>
        <w:t>必须按照</w:t>
      </w:r>
      <w:r>
        <w:rPr>
          <w:rFonts w:hint="eastAsia" w:ascii="等线" w:hAnsi="等线" w:eastAsia="仿宋" w:cs="仿宋"/>
          <w:sz w:val="28"/>
          <w:szCs w:val="28"/>
          <w:highlight w:val="none"/>
        </w:rPr>
        <w:t>中职考生和往届普通高中考生及同等学力考生</w:t>
      </w:r>
      <w:r>
        <w:rPr>
          <w:rFonts w:ascii="等线" w:hAnsi="等线" w:eastAsia="仿宋" w:cs="仿宋"/>
          <w:sz w:val="28"/>
          <w:szCs w:val="28"/>
          <w:highlight w:val="none"/>
        </w:rPr>
        <w:t>的要求</w:t>
      </w:r>
      <w:r>
        <w:rPr>
          <w:rFonts w:hint="eastAsia" w:ascii="等线" w:hAnsi="等线" w:eastAsia="仿宋" w:cs="仿宋"/>
          <w:sz w:val="28"/>
          <w:szCs w:val="28"/>
          <w:highlight w:val="none"/>
        </w:rPr>
        <w:t>参加</w:t>
      </w:r>
      <w:r>
        <w:rPr>
          <w:rFonts w:ascii="等线" w:hAnsi="等线" w:eastAsia="仿宋" w:cs="仿宋"/>
          <w:sz w:val="28"/>
          <w:szCs w:val="28"/>
          <w:highlight w:val="none"/>
        </w:rPr>
        <w:t>文化</w:t>
      </w:r>
      <w:r>
        <w:rPr>
          <w:rFonts w:hint="eastAsia" w:ascii="等线" w:hAnsi="等线" w:eastAsia="仿宋" w:cs="仿宋"/>
          <w:sz w:val="28"/>
          <w:szCs w:val="28"/>
          <w:highlight w:val="none"/>
        </w:rPr>
        <w:t>素质测试及</w:t>
      </w:r>
      <w:r>
        <w:rPr>
          <w:rFonts w:ascii="等线" w:hAnsi="等线" w:eastAsia="仿宋" w:cs="仿宋"/>
          <w:sz w:val="28"/>
          <w:szCs w:val="28"/>
          <w:highlight w:val="none"/>
        </w:rPr>
        <w:t>录取。</w:t>
      </w:r>
    </w:p>
    <w:p>
      <w:pPr>
        <w:widowControl/>
        <w:shd w:val="clear" w:color="auto" w:fill="FFFFFF"/>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第二十六条</w:t>
      </w:r>
      <w:r>
        <w:rPr>
          <w:rFonts w:hint="eastAsia" w:ascii="等线" w:hAnsi="等线" w:eastAsia="仿宋" w:cs="仿宋"/>
          <w:sz w:val="28"/>
          <w:szCs w:val="28"/>
          <w:highlight w:val="none"/>
        </w:rPr>
        <w:t xml:space="preserve"> 单招录取首先对报考单列计划的考生（第三类考生）进行录取，单列计划只录取第一志愿报考的考生，如有剩余单列计划则转为普通类计划录取第一类、第二类考生。</w:t>
      </w:r>
    </w:p>
    <w:p>
      <w:pPr>
        <w:widowControl/>
        <w:shd w:val="clear" w:color="auto" w:fill="FFFFFF"/>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第二十七条 </w:t>
      </w:r>
      <w:r>
        <w:rPr>
          <w:rFonts w:hint="eastAsia" w:ascii="等线" w:hAnsi="等线" w:eastAsia="仿宋" w:cs="仿宋"/>
          <w:sz w:val="28"/>
          <w:szCs w:val="28"/>
          <w:highlight w:val="none"/>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sz w:val="28"/>
          <w:szCs w:val="28"/>
          <w:highlight w:val="none"/>
        </w:rPr>
        <w:t>150</w:t>
      </w:r>
      <w:r>
        <w:rPr>
          <w:rFonts w:hint="eastAsia" w:ascii="等线" w:hAnsi="等线" w:eastAsia="仿宋" w:cs="仿宋"/>
          <w:sz w:val="28"/>
          <w:szCs w:val="28"/>
          <w:highlight w:val="none"/>
        </w:rPr>
        <w:t>、</w:t>
      </w:r>
      <w:r>
        <w:rPr>
          <w:rFonts w:ascii="等线" w:hAnsi="等线" w:eastAsia="仿宋" w:cs="仿宋"/>
          <w:sz w:val="28"/>
          <w:szCs w:val="28"/>
          <w:highlight w:val="none"/>
        </w:rPr>
        <w:t>50</w:t>
      </w:r>
      <w:r>
        <w:rPr>
          <w:rFonts w:hint="eastAsia" w:ascii="等线" w:hAnsi="等线" w:eastAsia="仿宋" w:cs="仿宋"/>
          <w:sz w:val="28"/>
          <w:szCs w:val="28"/>
          <w:highlight w:val="none"/>
        </w:rPr>
        <w:t>人，根据同比例</w:t>
      </w:r>
      <w:r>
        <w:rPr>
          <w:rFonts w:hint="eastAsia" w:ascii="等线" w:hAnsi="等线" w:eastAsia="仿宋" w:cs="仿宋"/>
          <w:sz w:val="28"/>
          <w:szCs w:val="28"/>
          <w:highlight w:val="none"/>
        </w:rPr>
        <w:t>公式</w:t>
      </w:r>
      <w:r>
        <w:rPr>
          <w:rFonts w:hint="eastAsia" w:ascii="等线" w:hAnsi="等线" w:eastAsia="仿宋" w:cs="仿宋"/>
          <w:sz w:val="28"/>
          <w:szCs w:val="28"/>
          <w:highlight w:val="none"/>
        </w:rPr>
        <w:t>计算可得第一类、第二类考生的计划数为71、24人。第一类考生计划数计算公式：95/（150+50）</w:t>
      </w:r>
      <w:r>
        <w:rPr>
          <w:rFonts w:hint="eastAsia" w:ascii="汉仪细圆B5" w:hAnsi="汉仪细圆B5" w:eastAsia="汉仪细圆B5" w:cs="汉仪细圆B5"/>
          <w:sz w:val="28"/>
          <w:szCs w:val="28"/>
          <w:highlight w:val="none"/>
        </w:rPr>
        <w:t>×150</w:t>
      </w:r>
      <w:r>
        <w:rPr>
          <w:rFonts w:hint="eastAsia" w:ascii="等线" w:hAnsi="等线" w:eastAsia="仿宋" w:cs="仿宋"/>
          <w:sz w:val="28"/>
          <w:szCs w:val="28"/>
          <w:highlight w:val="none"/>
        </w:rPr>
        <w:t>。各类别各专业计划确定后，录取过程中不再调整和追加。</w:t>
      </w:r>
    </w:p>
    <w:p>
      <w:pPr>
        <w:widowControl/>
        <w:shd w:val="clear" w:color="auto" w:fill="FFFFFF"/>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第二十八条</w:t>
      </w:r>
      <w:r>
        <w:rPr>
          <w:rFonts w:hint="eastAsia" w:ascii="等线" w:hAnsi="等线" w:eastAsia="仿宋" w:cs="仿宋"/>
          <w:sz w:val="28"/>
          <w:szCs w:val="28"/>
          <w:highlight w:val="none"/>
        </w:rPr>
        <w:t xml:space="preserve"> 单招录取工作按照“学校负责、招办监督”的原则进行。各类别录取时，按照</w:t>
      </w:r>
      <w:r>
        <w:rPr>
          <w:rFonts w:hint="eastAsia" w:ascii="等线" w:hAnsi="等线" w:eastAsia="仿宋" w:cs="仿宋"/>
          <w:sz w:val="28"/>
          <w:szCs w:val="28"/>
          <w:highlight w:val="none"/>
          <w:u w:val="single"/>
        </w:rPr>
        <w:t>志愿优先的方式</w:t>
      </w:r>
      <w:r>
        <w:rPr>
          <w:rFonts w:hint="eastAsia" w:ascii="等线" w:hAnsi="等线" w:eastAsia="仿宋" w:cs="仿宋"/>
          <w:sz w:val="28"/>
          <w:szCs w:val="28"/>
          <w:highlight w:val="none"/>
        </w:rPr>
        <w:t>进行。各类别按照以下顺序进行。</w:t>
      </w:r>
    </w:p>
    <w:p>
      <w:pPr>
        <w:widowControl/>
        <w:shd w:val="clear" w:color="auto" w:fill="FFFFFF"/>
        <w:spacing w:line="500" w:lineRule="exact"/>
        <w:ind w:firstLine="560" w:firstLineChars="200"/>
        <w:jc w:val="left"/>
        <w:rPr>
          <w:rFonts w:ascii="方正小标宋简体" w:hAnsi="方正小标宋简体" w:eastAsia="方正小标宋简体" w:cs="方正小标宋简体"/>
          <w:color w:val="FF0000"/>
          <w:sz w:val="28"/>
          <w:szCs w:val="28"/>
          <w:highlight w:val="none"/>
        </w:rPr>
      </w:pPr>
      <w:r>
        <w:rPr>
          <w:rFonts w:hint="eastAsia" w:ascii="等线" w:hAnsi="等线" w:eastAsia="仿宋" w:cs="仿宋"/>
          <w:sz w:val="28"/>
          <w:szCs w:val="28"/>
          <w:highlight w:val="none"/>
        </w:rPr>
        <w:t>1.退役军人考生。按考生职业技能测试综合成绩从高分到低分进行录取，录完为止。</w:t>
      </w:r>
    </w:p>
    <w:p>
      <w:pPr>
        <w:widowControl/>
        <w:shd w:val="clear" w:color="auto" w:fill="FFFFFF"/>
        <w:spacing w:line="500" w:lineRule="exact"/>
        <w:jc w:val="left"/>
        <w:rPr>
          <w:rFonts w:ascii="等线" w:hAnsi="等线" w:eastAsia="仿宋" w:cs="仿宋"/>
          <w:sz w:val="28"/>
          <w:szCs w:val="28"/>
          <w:highlight w:val="none"/>
        </w:rPr>
      </w:pPr>
      <w:r>
        <w:rPr>
          <w:rFonts w:hint="eastAsia" w:ascii="等线" w:hAnsi="等线" w:eastAsia="仿宋" w:cs="仿宋"/>
          <w:sz w:val="28"/>
          <w:szCs w:val="28"/>
          <w:highlight w:val="none"/>
        </w:rPr>
        <w:t xml:space="preserve">    </w:t>
      </w:r>
      <w:r>
        <w:rPr>
          <w:rFonts w:ascii="等线" w:hAnsi="等线" w:eastAsia="仿宋" w:cs="仿宋"/>
          <w:sz w:val="28"/>
          <w:szCs w:val="28"/>
          <w:highlight w:val="none"/>
        </w:rPr>
        <w:t>2</w:t>
      </w:r>
      <w:r>
        <w:rPr>
          <w:rFonts w:hint="eastAsia" w:ascii="等线" w:hAnsi="等线" w:eastAsia="仿宋" w:cs="仿宋"/>
          <w:sz w:val="28"/>
          <w:szCs w:val="28"/>
          <w:highlight w:val="none"/>
        </w:rPr>
        <w:t>.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widowControl/>
        <w:shd w:val="clear" w:color="auto" w:fill="FFFFFF"/>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第二十九条</w:t>
      </w:r>
      <w:r>
        <w:rPr>
          <w:rFonts w:hint="eastAsia" w:ascii="等线" w:hAnsi="等线" w:eastAsia="仿宋" w:cs="仿宋"/>
          <w:sz w:val="28"/>
          <w:szCs w:val="28"/>
          <w:highlight w:val="none"/>
        </w:rPr>
        <w:t xml:space="preserve"> 对于末位同分的考生，依据以下排序原则进行录取。同分排序规则为</w:t>
      </w:r>
      <w:r>
        <w:rPr>
          <w:rFonts w:hint="eastAsia" w:ascii="等线" w:hAnsi="等线" w:eastAsia="仿宋" w:cs="仿宋"/>
          <w:sz w:val="28"/>
          <w:szCs w:val="28"/>
          <w:highlight w:val="none"/>
          <w:u w:val="single"/>
        </w:rPr>
        <w:t>：依次按考生职业技能测试、语文、数学、外语成绩从高到低排序。</w:t>
      </w:r>
    </w:p>
    <w:p>
      <w:pPr>
        <w:widowControl/>
        <w:shd w:val="clear" w:color="auto" w:fill="FFFFFF"/>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第三十条 </w:t>
      </w:r>
      <w:r>
        <w:rPr>
          <w:rFonts w:hint="eastAsia" w:ascii="等线" w:hAnsi="等线" w:eastAsia="仿宋" w:cs="仿宋"/>
          <w:sz w:val="28"/>
          <w:szCs w:val="28"/>
          <w:highlight w:val="none"/>
        </w:rPr>
        <w:t>我校将通过官网（</w:t>
      </w:r>
      <w:r>
        <w:rPr>
          <w:rFonts w:ascii="等线" w:hAnsi="等线" w:eastAsia="仿宋" w:cs="仿宋"/>
          <w:sz w:val="28"/>
          <w:szCs w:val="28"/>
          <w:highlight w:val="none"/>
          <w:u w:val="single"/>
        </w:rPr>
        <w:t>https://www.hnxxc.com/zhaosheng</w:t>
      </w:r>
      <w:r>
        <w:rPr>
          <w:rFonts w:hint="eastAsia" w:ascii="等线" w:hAnsi="等线" w:eastAsia="仿宋" w:cs="仿宋"/>
          <w:sz w:val="28"/>
          <w:szCs w:val="28"/>
          <w:highlight w:val="none"/>
          <w:u w:val="single"/>
        </w:rPr>
        <w:t>）</w:t>
      </w:r>
      <w:r>
        <w:rPr>
          <w:rFonts w:hint="eastAsia" w:ascii="等线" w:hAnsi="等线" w:eastAsia="仿宋" w:cs="仿宋"/>
          <w:sz w:val="28"/>
          <w:szCs w:val="28"/>
          <w:highlight w:val="none"/>
        </w:rPr>
        <w:t>发布单招拟录取名单，拟录取考生需在我校规定时间内办理相关录取确认手续。</w:t>
      </w:r>
    </w:p>
    <w:p>
      <w:pPr>
        <w:widowControl/>
        <w:shd w:val="clear" w:color="auto" w:fill="FFFFFF"/>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第三十一条</w:t>
      </w:r>
      <w:r>
        <w:rPr>
          <w:rFonts w:hint="eastAsia" w:ascii="等线" w:hAnsi="等线" w:eastAsia="仿宋" w:cs="仿宋"/>
          <w:sz w:val="28"/>
          <w:szCs w:val="28"/>
          <w:highlight w:val="none"/>
        </w:rPr>
        <w:t xml:space="preserve"> 单招录取的学生不得参加本年度统一高考和普通高校对口招生考试。单招录取的学生不得转学，</w:t>
      </w:r>
      <w:r>
        <w:rPr>
          <w:rFonts w:hint="eastAsia" w:ascii="等线" w:hAnsi="等线" w:eastAsia="仿宋" w:cs="仿宋"/>
          <w:sz w:val="28"/>
          <w:szCs w:val="28"/>
          <w:highlight w:val="none"/>
          <w:u w:val="single"/>
        </w:rPr>
        <w:t>原则上不转专业</w:t>
      </w:r>
      <w:r>
        <w:rPr>
          <w:rFonts w:hint="eastAsia" w:ascii="等线" w:hAnsi="等线" w:eastAsia="仿宋" w:cs="仿宋"/>
          <w:sz w:val="28"/>
          <w:szCs w:val="28"/>
          <w:highlight w:val="none"/>
        </w:rPr>
        <w:t>。</w:t>
      </w:r>
    </w:p>
    <w:p>
      <w:pPr>
        <w:widowControl/>
        <w:shd w:val="clear" w:color="auto" w:fill="FFFFFF"/>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第三十二条</w:t>
      </w:r>
      <w:r>
        <w:rPr>
          <w:rFonts w:hint="eastAsia" w:ascii="等线" w:hAnsi="等线" w:eastAsia="仿宋" w:cs="仿宋"/>
          <w:sz w:val="28"/>
          <w:szCs w:val="28"/>
          <w:highlight w:val="none"/>
        </w:rPr>
        <w:t xml:space="preserve"> </w:t>
      </w:r>
      <w:r>
        <w:rPr>
          <w:rFonts w:hint="eastAsia" w:ascii="等线" w:hAnsi="等线" w:eastAsia="仿宋" w:cs="仿宋"/>
          <w:sz w:val="28"/>
          <w:szCs w:val="28"/>
          <w:highlight w:val="none"/>
        </w:rPr>
        <w:t>退役军人等</w:t>
      </w:r>
      <w:r>
        <w:rPr>
          <w:rFonts w:hint="eastAsia" w:ascii="等线" w:hAnsi="等线" w:eastAsia="仿宋" w:cs="仿宋"/>
          <w:sz w:val="28"/>
          <w:szCs w:val="28"/>
          <w:highlight w:val="none"/>
        </w:rPr>
        <w:t>其他社会人员考生须录取到指定专业，不得转到其他专业。</w:t>
      </w:r>
      <w:r>
        <w:rPr>
          <w:rFonts w:hint="eastAsia" w:ascii="等线" w:hAnsi="等线" w:eastAsia="仿宋" w:cs="仿宋"/>
          <w:sz w:val="28"/>
          <w:szCs w:val="28"/>
          <w:highlight w:val="none"/>
        </w:rPr>
        <w:t>退役军人考生</w:t>
      </w:r>
      <w:r>
        <w:rPr>
          <w:rFonts w:hint="eastAsia" w:ascii="等线" w:hAnsi="等线" w:eastAsia="仿宋" w:cs="仿宋"/>
          <w:sz w:val="28"/>
          <w:szCs w:val="28"/>
          <w:highlight w:val="none"/>
        </w:rPr>
        <w:t>录取后，高职院校按照《教育部办公厅关于做好扩招后高职教育教学管理工作的指导意见》（教职成厅函〔2019〕20号）及省教育厅有关文件规定，按照相对集中全日制教学的原则进行管理和培养。</w:t>
      </w:r>
    </w:p>
    <w:p>
      <w:pPr>
        <w:widowControl/>
        <w:shd w:val="clear" w:color="auto" w:fill="FFFFFF"/>
        <w:spacing w:line="500" w:lineRule="exact"/>
        <w:ind w:firstLine="562" w:firstLineChars="200"/>
        <w:jc w:val="left"/>
        <w:rPr>
          <w:rFonts w:ascii="仿宋" w:hAnsi="仿宋" w:eastAsia="仿宋" w:cs="仿宋"/>
          <w:sz w:val="28"/>
          <w:szCs w:val="28"/>
          <w:highlight w:val="none"/>
        </w:rPr>
      </w:pPr>
      <w:r>
        <w:rPr>
          <w:rFonts w:hint="eastAsia" w:ascii="等线" w:hAnsi="等线" w:eastAsia="仿宋" w:cs="仿宋"/>
          <w:b/>
          <w:bCs/>
          <w:sz w:val="28"/>
          <w:szCs w:val="28"/>
          <w:highlight w:val="none"/>
        </w:rPr>
        <w:t xml:space="preserve">第三十三条 </w:t>
      </w:r>
      <w:r>
        <w:rPr>
          <w:rFonts w:hint="eastAsia" w:ascii="等线" w:hAnsi="等线" w:eastAsia="仿宋" w:cs="仿宋"/>
          <w:sz w:val="28"/>
          <w:szCs w:val="28"/>
          <w:highlight w:val="none"/>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1"/>
        </w:numPr>
        <w:spacing w:before="156" w:beforeLines="50" w:after="156" w:afterLines="50" w:line="68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监督管理</w:t>
      </w:r>
    </w:p>
    <w:p>
      <w:pPr>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第三十四条 </w:t>
      </w:r>
      <w:r>
        <w:rPr>
          <w:rFonts w:hint="eastAsia" w:ascii="等线" w:hAnsi="等线" w:eastAsia="仿宋" w:cs="仿宋"/>
          <w:sz w:val="28"/>
          <w:szCs w:val="28"/>
          <w:highlight w:val="none"/>
        </w:rPr>
        <w:t>单招考试及录取结束后，学校按照要求及时将考试结果及拟录取考生情况在学校官网公示。</w:t>
      </w:r>
    </w:p>
    <w:p>
      <w:pPr>
        <w:spacing w:line="500" w:lineRule="exact"/>
        <w:ind w:left="210" w:leftChars="100" w:firstLine="281" w:firstLineChars="100"/>
        <w:jc w:val="left"/>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第三十五条 </w:t>
      </w:r>
      <w:r>
        <w:rPr>
          <w:rFonts w:hint="eastAsia" w:ascii="等线" w:hAnsi="等线" w:eastAsia="仿宋" w:cs="仿宋"/>
          <w:sz w:val="28"/>
          <w:szCs w:val="28"/>
          <w:highlight w:val="none"/>
        </w:rPr>
        <w:t>单招期间，确保规范有序、公平公正，在学校纪委</w:t>
      </w:r>
      <w:r>
        <w:rPr>
          <w:rFonts w:hint="eastAsia" w:ascii="等线" w:hAnsi="等线" w:eastAsia="仿宋" w:cs="仿宋"/>
          <w:sz w:val="28"/>
          <w:szCs w:val="28"/>
          <w:highlight w:val="none"/>
          <w:u w:val="single"/>
        </w:rPr>
        <w:t xml:space="preserve"> 监察部 </w:t>
      </w:r>
      <w:r>
        <w:rPr>
          <w:rFonts w:hint="eastAsia" w:ascii="等线" w:hAnsi="等线" w:eastAsia="仿宋" w:cs="仿宋"/>
          <w:sz w:val="28"/>
          <w:szCs w:val="28"/>
          <w:highlight w:val="none"/>
        </w:rPr>
        <w:t>全程监督检查下进行单招考试、录取等工作。</w:t>
      </w:r>
    </w:p>
    <w:p>
      <w:pPr>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第三十六条 </w:t>
      </w:r>
      <w:r>
        <w:rPr>
          <w:rFonts w:hint="eastAsia" w:ascii="等线" w:hAnsi="等线" w:eastAsia="仿宋" w:cs="仿宋"/>
          <w:sz w:val="28"/>
          <w:szCs w:val="28"/>
          <w:highlight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500" w:lineRule="exact"/>
        <w:ind w:firstLine="562" w:firstLineChars="200"/>
        <w:jc w:val="left"/>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第三十七条 </w:t>
      </w:r>
      <w:r>
        <w:rPr>
          <w:rFonts w:hint="eastAsia" w:ascii="等线" w:hAnsi="等线" w:eastAsia="仿宋" w:cs="仿宋"/>
          <w:sz w:val="28"/>
          <w:szCs w:val="28"/>
          <w:highlight w:val="none"/>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0738-8629325</w:t>
      </w:r>
      <w:r>
        <w:rPr>
          <w:rFonts w:hint="eastAsia" w:ascii="等线" w:hAnsi="等线" w:eastAsia="仿宋" w:cs="仿宋"/>
          <w:sz w:val="28"/>
          <w:szCs w:val="28"/>
          <w:highlight w:val="none"/>
          <w:u w:val="single"/>
        </w:rPr>
        <w:t xml:space="preserve"> </w:t>
      </w:r>
      <w:r>
        <w:rPr>
          <w:rFonts w:hint="eastAsia" w:ascii="等线" w:hAnsi="等线" w:eastAsia="仿宋" w:cs="仿宋"/>
          <w:sz w:val="28"/>
          <w:szCs w:val="28"/>
          <w:highlight w:val="none"/>
        </w:rPr>
        <w:t>。</w:t>
      </w:r>
    </w:p>
    <w:p>
      <w:pPr>
        <w:numPr>
          <w:ilvl w:val="0"/>
          <w:numId w:val="1"/>
        </w:numPr>
        <w:spacing w:before="156" w:beforeLines="50" w:after="156" w:afterLines="50" w:line="68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附则</w:t>
      </w:r>
    </w:p>
    <w:p>
      <w:pPr>
        <w:pStyle w:val="2"/>
        <w:shd w:val="clear" w:color="auto" w:fill="FFFFFF"/>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第三十八条</w:t>
      </w:r>
      <w:r>
        <w:rPr>
          <w:rFonts w:hint="eastAsia" w:ascii="等线" w:hAnsi="等线" w:eastAsia="仿宋" w:cs="仿宋"/>
          <w:sz w:val="28"/>
          <w:szCs w:val="28"/>
          <w:highlight w:val="none"/>
        </w:rPr>
        <w:t xml:space="preserve"> 学校对新生入学设有“绿色通道”。家庭经济特别困难的新生，可持乡（镇）以上人民政府证明向学校学生工作处申请办理学费缓交手续，并可根据国家有关规定申请国家助学贷款。品学兼优的学生可获得各类奖学金；家庭经济困难的学生，可申请国家助学金、红妈妈助学金、生源地助学贷款、困难补助及校内外勤工俭学岗位。根据国家规定，学校设置国家奖学金、国家励志奖学金、国家助学金、红妈妈基金等。</w:t>
      </w:r>
    </w:p>
    <w:p>
      <w:pPr>
        <w:pStyle w:val="2"/>
        <w:shd w:val="clear" w:color="auto" w:fill="FFFFFF"/>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第三十九条 </w:t>
      </w:r>
      <w:r>
        <w:rPr>
          <w:rFonts w:hint="eastAsia" w:ascii="等线" w:hAnsi="等线" w:eastAsia="仿宋" w:cs="仿宋"/>
          <w:sz w:val="28"/>
          <w:szCs w:val="28"/>
          <w:highlight w:val="none"/>
        </w:rPr>
        <w:t>录取考生的体检标准按照教育部、卫生部、中国残疾人联合会颁布的《普通高等学校招生体检工作指导意见》及有关补充规定执行。</w:t>
      </w:r>
    </w:p>
    <w:p>
      <w:pPr>
        <w:shd w:val="clear" w:color="auto" w:fill="FFFFFF"/>
        <w:spacing w:line="500" w:lineRule="exact"/>
        <w:ind w:firstLine="562" w:firstLineChars="200"/>
        <w:rPr>
          <w:rFonts w:ascii="等线" w:hAnsi="等线" w:eastAsia="仿宋" w:cs="仿宋"/>
          <w:b/>
          <w:bCs/>
          <w:sz w:val="32"/>
          <w:szCs w:val="32"/>
          <w:highlight w:val="none"/>
        </w:rPr>
      </w:pPr>
      <w:r>
        <w:rPr>
          <w:rFonts w:hint="eastAsia" w:ascii="等线" w:hAnsi="等线" w:eastAsia="仿宋" w:cs="仿宋"/>
          <w:b/>
          <w:bCs/>
          <w:sz w:val="28"/>
          <w:szCs w:val="28"/>
          <w:highlight w:val="none"/>
        </w:rPr>
        <w:t xml:space="preserve">第四十条 </w:t>
      </w:r>
      <w:r>
        <w:rPr>
          <w:rFonts w:hint="eastAsia" w:ascii="等线" w:hAnsi="等线" w:eastAsia="仿宋" w:cs="仿宋"/>
          <w:sz w:val="28"/>
          <w:szCs w:val="28"/>
          <w:highlight w:val="none"/>
        </w:rPr>
        <w:t>录取考生的思想政治品德考核和身体健康状况检查均采用考生报考普通高校招生考试或对口招生考试时所采集的信息，学生对提供的信息真实性负责。</w:t>
      </w:r>
    </w:p>
    <w:p>
      <w:pPr>
        <w:shd w:val="clear" w:color="auto" w:fill="FFFFFF"/>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第四十一条</w:t>
      </w:r>
      <w:r>
        <w:rPr>
          <w:rFonts w:hint="eastAsia" w:ascii="等线" w:hAnsi="等线" w:eastAsia="仿宋" w:cs="仿宋"/>
          <w:sz w:val="28"/>
          <w:szCs w:val="28"/>
          <w:highlight w:val="none"/>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第四十二条</w:t>
      </w:r>
      <w:r>
        <w:rPr>
          <w:rFonts w:hint="eastAsia" w:ascii="等线" w:hAnsi="等线" w:eastAsia="仿宋" w:cs="仿宋"/>
          <w:sz w:val="28"/>
          <w:szCs w:val="28"/>
          <w:highlight w:val="none"/>
        </w:rPr>
        <w:t xml:space="preserve"> 本章程通过湖南省教育考试院和学院官网向社会发布，对于各种媒体节选公布的章程内容，如理解有误，以学校公布的完整单独招生章程为准。</w:t>
      </w:r>
    </w:p>
    <w:p>
      <w:pPr>
        <w:pStyle w:val="2"/>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第四十三条 </w:t>
      </w:r>
      <w:r>
        <w:rPr>
          <w:rFonts w:hint="eastAsia" w:ascii="等线" w:hAnsi="等线" w:eastAsia="仿宋" w:cs="仿宋"/>
          <w:sz w:val="28"/>
          <w:szCs w:val="28"/>
          <w:highlight w:val="none"/>
        </w:rPr>
        <w:t>学校招生联系方式</w:t>
      </w:r>
    </w:p>
    <w:p>
      <w:pPr>
        <w:pStyle w:val="2"/>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通信地址</w:t>
      </w:r>
      <w:r>
        <w:rPr>
          <w:rFonts w:hint="eastAsia" w:ascii="等线" w:hAnsi="等线" w:eastAsia="仿宋" w:cs="仿宋"/>
          <w:sz w:val="28"/>
          <w:szCs w:val="28"/>
          <w:highlight w:val="none"/>
          <w:u w:val="single"/>
        </w:rPr>
        <w:t xml:space="preserve">：湖南省娄底市经济技术开发区 </w:t>
      </w:r>
    </w:p>
    <w:p>
      <w:pPr>
        <w:pStyle w:val="2"/>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邮政编码</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 xml:space="preserve">     417009</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 xml:space="preserve">          </w:t>
      </w:r>
      <w:r>
        <w:rPr>
          <w:rFonts w:hint="eastAsia" w:ascii="等线" w:hAnsi="等线" w:eastAsia="仿宋" w:cs="仿宋"/>
          <w:sz w:val="28"/>
          <w:szCs w:val="28"/>
          <w:highlight w:val="none"/>
          <w:u w:val="single"/>
        </w:rPr>
        <w:t xml:space="preserve">  </w:t>
      </w:r>
      <w:r>
        <w:rPr>
          <w:rFonts w:hint="eastAsia" w:ascii="等线" w:hAnsi="等线" w:eastAsia="仿宋" w:cs="仿宋"/>
          <w:sz w:val="28"/>
          <w:szCs w:val="28"/>
          <w:highlight w:val="none"/>
        </w:rPr>
        <w:t xml:space="preserve"> </w:t>
      </w:r>
    </w:p>
    <w:p>
      <w:pPr>
        <w:pStyle w:val="2"/>
        <w:ind w:firstLine="560" w:firstLineChars="200"/>
        <w:rPr>
          <w:rFonts w:ascii="等线" w:hAnsi="等线" w:eastAsia="仿宋" w:cs="仿宋"/>
          <w:sz w:val="28"/>
          <w:szCs w:val="28"/>
          <w:highlight w:val="none"/>
          <w:u w:val="single"/>
        </w:rPr>
      </w:pPr>
      <w:r>
        <w:rPr>
          <w:rFonts w:hint="eastAsia" w:ascii="等线" w:hAnsi="等线" w:eastAsia="仿宋" w:cs="仿宋"/>
          <w:sz w:val="28"/>
          <w:szCs w:val="28"/>
          <w:highlight w:val="none"/>
        </w:rPr>
        <w:t>招生咨询电话：</w:t>
      </w:r>
      <w:r>
        <w:rPr>
          <w:rFonts w:hint="eastAsia" w:ascii="等线" w:hAnsi="等线" w:eastAsia="仿宋" w:cs="仿宋"/>
          <w:sz w:val="28"/>
          <w:szCs w:val="28"/>
          <w:highlight w:val="none"/>
          <w:u w:val="single"/>
        </w:rPr>
        <w:t xml:space="preserve"> </w:t>
      </w:r>
      <w:r>
        <w:rPr>
          <w:rFonts w:ascii="等线" w:hAnsi="等线" w:eastAsia="仿宋" w:cs="仿宋"/>
          <w:sz w:val="28"/>
          <w:szCs w:val="28"/>
          <w:highlight w:val="none"/>
          <w:u w:val="single"/>
        </w:rPr>
        <w:t>0738</w:t>
      </w:r>
      <w:r>
        <w:rPr>
          <w:rFonts w:hint="eastAsia" w:ascii="等线" w:hAnsi="等线" w:eastAsia="仿宋" w:cs="仿宋"/>
          <w:sz w:val="28"/>
          <w:szCs w:val="28"/>
          <w:highlight w:val="none"/>
          <w:u w:val="single"/>
        </w:rPr>
        <w:t>-</w:t>
      </w:r>
      <w:r>
        <w:rPr>
          <w:rFonts w:ascii="等线" w:hAnsi="等线" w:eastAsia="仿宋" w:cs="仿宋"/>
          <w:sz w:val="28"/>
          <w:szCs w:val="28"/>
          <w:highlight w:val="none"/>
          <w:u w:val="single"/>
        </w:rPr>
        <w:t>8610888  8610999</w:t>
      </w:r>
      <w:r>
        <w:rPr>
          <w:rFonts w:hint="eastAsia" w:ascii="等线" w:hAnsi="等线" w:eastAsia="仿宋" w:cs="仿宋"/>
          <w:sz w:val="28"/>
          <w:szCs w:val="28"/>
          <w:highlight w:val="none"/>
          <w:u w:val="single"/>
        </w:rPr>
        <w:t xml:space="preserve"> </w:t>
      </w:r>
    </w:p>
    <w:p>
      <w:pPr>
        <w:pStyle w:val="2"/>
        <w:ind w:firstLine="560" w:firstLineChars="200"/>
        <w:rPr>
          <w:rFonts w:ascii="等线" w:hAnsi="等线" w:eastAsia="仿宋" w:cs="仿宋"/>
          <w:sz w:val="28"/>
          <w:szCs w:val="28"/>
          <w:highlight w:val="none"/>
        </w:rPr>
      </w:pPr>
      <w:r>
        <w:rPr>
          <w:rFonts w:hint="eastAsia" w:ascii="等线" w:hAnsi="等线" w:eastAsia="仿宋" w:cs="仿宋"/>
          <w:sz w:val="28"/>
          <w:szCs w:val="28"/>
          <w:highlight w:val="none"/>
        </w:rPr>
        <w:t>招生信息发布网址</w:t>
      </w:r>
      <w:r>
        <w:rPr>
          <w:rFonts w:hint="eastAsia" w:ascii="等线" w:hAnsi="等线" w:eastAsia="仿宋" w:cs="仿宋"/>
          <w:sz w:val="28"/>
          <w:szCs w:val="28"/>
          <w:highlight w:val="none"/>
          <w:u w:val="single"/>
        </w:rPr>
        <w:t>：</w:t>
      </w:r>
      <w:r>
        <w:rPr>
          <w:rFonts w:ascii="等线" w:hAnsi="等线" w:eastAsia="仿宋" w:cs="仿宋"/>
          <w:sz w:val="28"/>
          <w:szCs w:val="28"/>
          <w:highlight w:val="none"/>
          <w:u w:val="single"/>
        </w:rPr>
        <w:t>https://www.hnxxc.com/zhaosheng/</w:t>
      </w:r>
      <w:r>
        <w:rPr>
          <w:rFonts w:hint="eastAsia" w:ascii="等线" w:hAnsi="等线" w:eastAsia="仿宋" w:cs="仿宋"/>
          <w:sz w:val="28"/>
          <w:szCs w:val="28"/>
          <w:highlight w:val="none"/>
          <w:u w:val="single"/>
        </w:rPr>
        <w:t xml:space="preserve"> </w:t>
      </w:r>
    </w:p>
    <w:p>
      <w:pPr>
        <w:pStyle w:val="9"/>
        <w:shd w:val="clear" w:color="auto" w:fill="FFFFFF"/>
        <w:spacing w:before="0" w:beforeAutospacing="0" w:after="0" w:afterAutospacing="0" w:line="500" w:lineRule="exact"/>
        <w:ind w:firstLine="560" w:firstLineChars="200"/>
        <w:rPr>
          <w:rFonts w:ascii="等线" w:hAnsi="等线" w:eastAsia="仿宋" w:cs="仿宋"/>
          <w:kern w:val="2"/>
          <w:sz w:val="28"/>
          <w:szCs w:val="28"/>
          <w:highlight w:val="none"/>
        </w:rPr>
      </w:pPr>
      <w:r>
        <w:rPr>
          <w:rFonts w:hint="eastAsia" w:ascii="等线" w:hAnsi="等线" w:eastAsia="仿宋" w:cs="仿宋"/>
          <w:kern w:val="2"/>
          <w:sz w:val="28"/>
          <w:szCs w:val="28"/>
          <w:highlight w:val="none"/>
        </w:rPr>
        <w:t>监督投诉电话</w:t>
      </w:r>
      <w:r>
        <w:rPr>
          <w:rFonts w:hint="eastAsia" w:ascii="等线" w:hAnsi="等线" w:eastAsia="仿宋" w:cs="仿宋"/>
          <w:kern w:val="2"/>
          <w:sz w:val="28"/>
          <w:szCs w:val="28"/>
          <w:highlight w:val="none"/>
          <w:u w:val="single"/>
        </w:rPr>
        <w:t xml:space="preserve">： </w:t>
      </w:r>
      <w:r>
        <w:rPr>
          <w:rFonts w:ascii="等线" w:hAnsi="等线" w:eastAsia="仿宋" w:cs="仿宋"/>
          <w:sz w:val="28"/>
          <w:szCs w:val="28"/>
          <w:highlight w:val="none"/>
          <w:u w:val="single"/>
        </w:rPr>
        <w:t>0738-8629325</w:t>
      </w:r>
      <w:r>
        <w:rPr>
          <w:rFonts w:hint="eastAsia" w:ascii="等线" w:hAnsi="等线" w:eastAsia="仿宋" w:cs="仿宋"/>
          <w:kern w:val="2"/>
          <w:sz w:val="28"/>
          <w:szCs w:val="28"/>
          <w:highlight w:val="none"/>
          <w:u w:val="single"/>
        </w:rPr>
        <w:t xml:space="preserve">  </w:t>
      </w:r>
    </w:p>
    <w:p>
      <w:pPr>
        <w:shd w:val="clear" w:color="auto" w:fill="FFFFFF"/>
        <w:spacing w:line="500" w:lineRule="exact"/>
        <w:ind w:firstLine="562" w:firstLineChars="200"/>
        <w:rPr>
          <w:rFonts w:ascii="等线" w:hAnsi="等线" w:eastAsia="仿宋" w:cs="仿宋"/>
          <w:sz w:val="28"/>
          <w:szCs w:val="28"/>
          <w:highlight w:val="none"/>
        </w:rPr>
      </w:pPr>
      <w:r>
        <w:rPr>
          <w:rFonts w:hint="eastAsia" w:ascii="等线" w:hAnsi="等线" w:eastAsia="仿宋" w:cs="仿宋"/>
          <w:b/>
          <w:bCs/>
          <w:sz w:val="28"/>
          <w:szCs w:val="28"/>
          <w:highlight w:val="none"/>
        </w:rPr>
        <w:t xml:space="preserve">第四十四条 </w:t>
      </w:r>
      <w:r>
        <w:rPr>
          <w:rFonts w:hint="eastAsia" w:ascii="等线" w:hAnsi="等线" w:eastAsia="仿宋" w:cs="仿宋"/>
          <w:sz w:val="28"/>
          <w:szCs w:val="28"/>
          <w:highlight w:val="none"/>
        </w:rPr>
        <w:t>本章程适用于我校2024年湖南省单招。其解释权属于</w:t>
      </w:r>
      <w:r>
        <w:rPr>
          <w:rFonts w:hint="eastAsia" w:ascii="等线" w:hAnsi="等线" w:eastAsia="仿宋" w:cs="仿宋"/>
          <w:sz w:val="28"/>
          <w:szCs w:val="28"/>
          <w:highlight w:val="none"/>
          <w:u w:val="single"/>
        </w:rPr>
        <w:t xml:space="preserve"> 潇湘职业学院 </w:t>
      </w:r>
      <w:r>
        <w:rPr>
          <w:rFonts w:hint="eastAsia" w:ascii="等线" w:hAnsi="等线" w:eastAsia="仿宋" w:cs="仿宋"/>
          <w:sz w:val="28"/>
          <w:szCs w:val="28"/>
          <w:highlight w:val="none"/>
        </w:rPr>
        <w:t>。</w:t>
      </w:r>
      <w:r>
        <w:rPr>
          <w:rFonts w:hint="eastAsia" w:ascii="等线" w:hAnsi="等线" w:eastAsia="仿宋" w:cs="仿宋"/>
          <w:sz w:val="28"/>
          <w:szCs w:val="28"/>
          <w:highlight w:val="none"/>
          <w:shd w:val="clear" w:color="auto" w:fill="FFFFFF"/>
        </w:rPr>
        <w:t>如遇教育部、湖南省教育厅相关招生政策调整，以公布的最新政策为准。</w:t>
      </w:r>
    </w:p>
    <w:bookmarkEnd w:id="0"/>
    <w:p>
      <w:pPr>
        <w:rPr>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A3CAE1B0-6B4A-463E-9ADC-C751393FEDAB}"/>
  </w:font>
  <w:font w:name="华文中宋">
    <w:panose1 w:val="02010600040101010101"/>
    <w:charset w:val="86"/>
    <w:family w:val="auto"/>
    <w:pitch w:val="default"/>
    <w:sig w:usb0="00000287" w:usb1="080F0000" w:usb2="00000000" w:usb3="00000000" w:csb0="0004009F" w:csb1="DFD70000"/>
    <w:embedRegular r:id="rId2" w:fontKey="{706974E7-0C8C-4D7B-9DE9-1BB6315B3234}"/>
  </w:font>
  <w:font w:name="仿宋">
    <w:panose1 w:val="02010609060101010101"/>
    <w:charset w:val="86"/>
    <w:family w:val="modern"/>
    <w:pitch w:val="default"/>
    <w:sig w:usb0="800002BF" w:usb1="38CF7CFA" w:usb2="00000016" w:usb3="00000000" w:csb0="00040001" w:csb1="00000000"/>
    <w:embedRegular r:id="rId3" w:fontKey="{631E6D30-C7AE-4F16-9F21-A64179FBDFA6}"/>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59910D79-88D6-4D01-BFE3-08B8DEC9C48E}"/>
  </w:font>
  <w:font w:name="汉仪细圆B5">
    <w:altName w:val="仿宋"/>
    <w:panose1 w:val="00000000000000000000"/>
    <w:charset w:val="00"/>
    <w:family w:val="auto"/>
    <w:pitch w:val="default"/>
    <w:sig w:usb0="00000000" w:usb1="00000000" w:usb2="00000000" w:usb3="00000000" w:csb0="00000000" w:csb1="00000000"/>
    <w:embedRegular r:id="rId5" w:fontKey="{6B61A245-789B-4A54-B9AB-9133077B22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zgwYmE5NWE1OWMxZWIzYmU4MDc2NmRlMmI2ZTcifQ=="/>
  </w:docVars>
  <w:rsids>
    <w:rsidRoot w:val="00054A07"/>
    <w:rsid w:val="000130A7"/>
    <w:rsid w:val="00014F73"/>
    <w:rsid w:val="000278C3"/>
    <w:rsid w:val="00034D05"/>
    <w:rsid w:val="00037508"/>
    <w:rsid w:val="000421E8"/>
    <w:rsid w:val="000474FF"/>
    <w:rsid w:val="0005198F"/>
    <w:rsid w:val="00051C04"/>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0F0929"/>
    <w:rsid w:val="000F4E25"/>
    <w:rsid w:val="00102754"/>
    <w:rsid w:val="0010601E"/>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B1CCA"/>
    <w:rsid w:val="001C15F1"/>
    <w:rsid w:val="001C5E53"/>
    <w:rsid w:val="001D274B"/>
    <w:rsid w:val="001D7D09"/>
    <w:rsid w:val="001E1249"/>
    <w:rsid w:val="001E5A56"/>
    <w:rsid w:val="001F01C6"/>
    <w:rsid w:val="001F6A1F"/>
    <w:rsid w:val="001F7692"/>
    <w:rsid w:val="001F7B8C"/>
    <w:rsid w:val="00203AEF"/>
    <w:rsid w:val="00204373"/>
    <w:rsid w:val="00205BFB"/>
    <w:rsid w:val="00206CAB"/>
    <w:rsid w:val="002078F5"/>
    <w:rsid w:val="00215533"/>
    <w:rsid w:val="002167EA"/>
    <w:rsid w:val="00222848"/>
    <w:rsid w:val="00223B90"/>
    <w:rsid w:val="002254D9"/>
    <w:rsid w:val="00234926"/>
    <w:rsid w:val="002352F7"/>
    <w:rsid w:val="00244164"/>
    <w:rsid w:val="0024457C"/>
    <w:rsid w:val="00246E78"/>
    <w:rsid w:val="00252171"/>
    <w:rsid w:val="0025235B"/>
    <w:rsid w:val="0025254F"/>
    <w:rsid w:val="002547D9"/>
    <w:rsid w:val="0025608D"/>
    <w:rsid w:val="002616ED"/>
    <w:rsid w:val="00280E90"/>
    <w:rsid w:val="00281D85"/>
    <w:rsid w:val="00283C77"/>
    <w:rsid w:val="00284BE1"/>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6D4F"/>
    <w:rsid w:val="0047761D"/>
    <w:rsid w:val="00480C9D"/>
    <w:rsid w:val="00484EA8"/>
    <w:rsid w:val="00491625"/>
    <w:rsid w:val="00493788"/>
    <w:rsid w:val="004A1690"/>
    <w:rsid w:val="004A5110"/>
    <w:rsid w:val="004B246B"/>
    <w:rsid w:val="004C21B7"/>
    <w:rsid w:val="004C233F"/>
    <w:rsid w:val="004C3B09"/>
    <w:rsid w:val="004C3B5D"/>
    <w:rsid w:val="004D4E4B"/>
    <w:rsid w:val="004D6194"/>
    <w:rsid w:val="004E0C54"/>
    <w:rsid w:val="004E2B8D"/>
    <w:rsid w:val="004F10CE"/>
    <w:rsid w:val="004F4631"/>
    <w:rsid w:val="004F4C5B"/>
    <w:rsid w:val="004F5CC1"/>
    <w:rsid w:val="00505DE9"/>
    <w:rsid w:val="00506637"/>
    <w:rsid w:val="0051056E"/>
    <w:rsid w:val="005136C5"/>
    <w:rsid w:val="00516250"/>
    <w:rsid w:val="00517A34"/>
    <w:rsid w:val="00520D45"/>
    <w:rsid w:val="00526A07"/>
    <w:rsid w:val="00540B5B"/>
    <w:rsid w:val="00542E96"/>
    <w:rsid w:val="00550F5C"/>
    <w:rsid w:val="005623AF"/>
    <w:rsid w:val="005672A7"/>
    <w:rsid w:val="005674AB"/>
    <w:rsid w:val="00571FD2"/>
    <w:rsid w:val="0057420C"/>
    <w:rsid w:val="005755FC"/>
    <w:rsid w:val="005813FA"/>
    <w:rsid w:val="00593F9A"/>
    <w:rsid w:val="00596FAB"/>
    <w:rsid w:val="005A11F7"/>
    <w:rsid w:val="005A39B9"/>
    <w:rsid w:val="005A4120"/>
    <w:rsid w:val="005A4D28"/>
    <w:rsid w:val="005A6BB8"/>
    <w:rsid w:val="005C03BF"/>
    <w:rsid w:val="005C0B42"/>
    <w:rsid w:val="005C278B"/>
    <w:rsid w:val="005C2FA0"/>
    <w:rsid w:val="005C4245"/>
    <w:rsid w:val="005C52E1"/>
    <w:rsid w:val="005D4B01"/>
    <w:rsid w:val="005D633C"/>
    <w:rsid w:val="005D7A14"/>
    <w:rsid w:val="005E220A"/>
    <w:rsid w:val="005F293D"/>
    <w:rsid w:val="006050A7"/>
    <w:rsid w:val="006054FC"/>
    <w:rsid w:val="0061777F"/>
    <w:rsid w:val="00622126"/>
    <w:rsid w:val="00625D13"/>
    <w:rsid w:val="006262FA"/>
    <w:rsid w:val="00633FB6"/>
    <w:rsid w:val="00642C5E"/>
    <w:rsid w:val="006438D4"/>
    <w:rsid w:val="00652D20"/>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5BC6"/>
    <w:rsid w:val="006C61B4"/>
    <w:rsid w:val="006C6C9D"/>
    <w:rsid w:val="006E25E0"/>
    <w:rsid w:val="006E3B04"/>
    <w:rsid w:val="006E459C"/>
    <w:rsid w:val="006E4A9E"/>
    <w:rsid w:val="006E6B29"/>
    <w:rsid w:val="006E7594"/>
    <w:rsid w:val="006F0041"/>
    <w:rsid w:val="006F1FE6"/>
    <w:rsid w:val="006F2544"/>
    <w:rsid w:val="006F6CBC"/>
    <w:rsid w:val="00703100"/>
    <w:rsid w:val="007104D8"/>
    <w:rsid w:val="00713678"/>
    <w:rsid w:val="00720E6D"/>
    <w:rsid w:val="00721206"/>
    <w:rsid w:val="00723794"/>
    <w:rsid w:val="0072707E"/>
    <w:rsid w:val="007323F4"/>
    <w:rsid w:val="00741D3E"/>
    <w:rsid w:val="00751F8B"/>
    <w:rsid w:val="0076137E"/>
    <w:rsid w:val="00765861"/>
    <w:rsid w:val="00766013"/>
    <w:rsid w:val="0077248A"/>
    <w:rsid w:val="0077282E"/>
    <w:rsid w:val="00773631"/>
    <w:rsid w:val="00781CB5"/>
    <w:rsid w:val="00783FFC"/>
    <w:rsid w:val="007849AC"/>
    <w:rsid w:val="007862C6"/>
    <w:rsid w:val="0078775A"/>
    <w:rsid w:val="00790CAF"/>
    <w:rsid w:val="00790F2E"/>
    <w:rsid w:val="007911CF"/>
    <w:rsid w:val="00791880"/>
    <w:rsid w:val="00791D25"/>
    <w:rsid w:val="00792D07"/>
    <w:rsid w:val="00793B0F"/>
    <w:rsid w:val="007A2971"/>
    <w:rsid w:val="007A30D7"/>
    <w:rsid w:val="007B30EA"/>
    <w:rsid w:val="007B37A6"/>
    <w:rsid w:val="007C0EBD"/>
    <w:rsid w:val="007C1025"/>
    <w:rsid w:val="007C17F6"/>
    <w:rsid w:val="007C696A"/>
    <w:rsid w:val="007E06EB"/>
    <w:rsid w:val="007E08DC"/>
    <w:rsid w:val="007E6FED"/>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0389"/>
    <w:rsid w:val="00903C5F"/>
    <w:rsid w:val="00906871"/>
    <w:rsid w:val="00910D26"/>
    <w:rsid w:val="00911306"/>
    <w:rsid w:val="00913F7E"/>
    <w:rsid w:val="00916342"/>
    <w:rsid w:val="0092411D"/>
    <w:rsid w:val="00924BEA"/>
    <w:rsid w:val="009274BA"/>
    <w:rsid w:val="009335C4"/>
    <w:rsid w:val="00936996"/>
    <w:rsid w:val="00941CED"/>
    <w:rsid w:val="0094668D"/>
    <w:rsid w:val="00946C62"/>
    <w:rsid w:val="009564F3"/>
    <w:rsid w:val="00957EA0"/>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E1041"/>
    <w:rsid w:val="009F05E3"/>
    <w:rsid w:val="009F152E"/>
    <w:rsid w:val="009F60E3"/>
    <w:rsid w:val="00A019A8"/>
    <w:rsid w:val="00A022A1"/>
    <w:rsid w:val="00A037D1"/>
    <w:rsid w:val="00A04B06"/>
    <w:rsid w:val="00A05792"/>
    <w:rsid w:val="00A1546E"/>
    <w:rsid w:val="00A157A1"/>
    <w:rsid w:val="00A16528"/>
    <w:rsid w:val="00A17A4A"/>
    <w:rsid w:val="00A24E1E"/>
    <w:rsid w:val="00A261BD"/>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05D1"/>
    <w:rsid w:val="00AB4BEC"/>
    <w:rsid w:val="00AC58CA"/>
    <w:rsid w:val="00AD2530"/>
    <w:rsid w:val="00AD578F"/>
    <w:rsid w:val="00AD7A84"/>
    <w:rsid w:val="00AE547E"/>
    <w:rsid w:val="00B04EE8"/>
    <w:rsid w:val="00B05CE8"/>
    <w:rsid w:val="00B16C37"/>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A0801"/>
    <w:rsid w:val="00BB16CA"/>
    <w:rsid w:val="00BB547F"/>
    <w:rsid w:val="00BB73B0"/>
    <w:rsid w:val="00BC195E"/>
    <w:rsid w:val="00BC3AFE"/>
    <w:rsid w:val="00BC5EC6"/>
    <w:rsid w:val="00BC6A2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23798"/>
    <w:rsid w:val="00C309D4"/>
    <w:rsid w:val="00C37A45"/>
    <w:rsid w:val="00C454FE"/>
    <w:rsid w:val="00C47FF5"/>
    <w:rsid w:val="00C55028"/>
    <w:rsid w:val="00C5568D"/>
    <w:rsid w:val="00C63C0D"/>
    <w:rsid w:val="00C6774A"/>
    <w:rsid w:val="00C677E8"/>
    <w:rsid w:val="00C7255C"/>
    <w:rsid w:val="00C72F32"/>
    <w:rsid w:val="00C769F2"/>
    <w:rsid w:val="00C81CD9"/>
    <w:rsid w:val="00C825D8"/>
    <w:rsid w:val="00C83AFF"/>
    <w:rsid w:val="00C8464B"/>
    <w:rsid w:val="00C97A3D"/>
    <w:rsid w:val="00CA5253"/>
    <w:rsid w:val="00CB12F8"/>
    <w:rsid w:val="00CC2FB5"/>
    <w:rsid w:val="00CC4454"/>
    <w:rsid w:val="00CC4B3B"/>
    <w:rsid w:val="00CD0420"/>
    <w:rsid w:val="00CD1C28"/>
    <w:rsid w:val="00CE40D8"/>
    <w:rsid w:val="00CE6C03"/>
    <w:rsid w:val="00CF21AD"/>
    <w:rsid w:val="00CF6CF5"/>
    <w:rsid w:val="00D02016"/>
    <w:rsid w:val="00D07D9C"/>
    <w:rsid w:val="00D10E31"/>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94EC8"/>
    <w:rsid w:val="00DA24B9"/>
    <w:rsid w:val="00DB098F"/>
    <w:rsid w:val="00DB4E76"/>
    <w:rsid w:val="00DB7EEE"/>
    <w:rsid w:val="00DC46E4"/>
    <w:rsid w:val="00DC4A61"/>
    <w:rsid w:val="00DD043D"/>
    <w:rsid w:val="00DD1363"/>
    <w:rsid w:val="00DD2AE7"/>
    <w:rsid w:val="00DD553D"/>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9737F"/>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92126"/>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6A55C71"/>
    <w:rsid w:val="06F53E3D"/>
    <w:rsid w:val="075926EA"/>
    <w:rsid w:val="07987FF3"/>
    <w:rsid w:val="079D1FBD"/>
    <w:rsid w:val="07D94EB6"/>
    <w:rsid w:val="07DB005B"/>
    <w:rsid w:val="07DC2099"/>
    <w:rsid w:val="07FC04D8"/>
    <w:rsid w:val="087C7B4E"/>
    <w:rsid w:val="0AAF0151"/>
    <w:rsid w:val="0ADC163F"/>
    <w:rsid w:val="0B2B471F"/>
    <w:rsid w:val="0B8C708E"/>
    <w:rsid w:val="0BA871E7"/>
    <w:rsid w:val="0BB7681F"/>
    <w:rsid w:val="0C004B2C"/>
    <w:rsid w:val="0C2267DE"/>
    <w:rsid w:val="0D511BCD"/>
    <w:rsid w:val="0D9A2F32"/>
    <w:rsid w:val="0F0E57E7"/>
    <w:rsid w:val="0F1424D3"/>
    <w:rsid w:val="0F713C26"/>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CE57F5"/>
    <w:rsid w:val="19DE5CD3"/>
    <w:rsid w:val="19E92EA6"/>
    <w:rsid w:val="1A004525"/>
    <w:rsid w:val="1A1C3315"/>
    <w:rsid w:val="1A2F0A01"/>
    <w:rsid w:val="1A4D657E"/>
    <w:rsid w:val="1A914C20"/>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FE758D"/>
    <w:rsid w:val="200F7270"/>
    <w:rsid w:val="202E0E7A"/>
    <w:rsid w:val="20A0611A"/>
    <w:rsid w:val="20FF2EF0"/>
    <w:rsid w:val="226A3F96"/>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86D4306"/>
    <w:rsid w:val="29DD040A"/>
    <w:rsid w:val="2A0406E2"/>
    <w:rsid w:val="2A0656A8"/>
    <w:rsid w:val="2A0707B2"/>
    <w:rsid w:val="2A32577F"/>
    <w:rsid w:val="2ABE71EB"/>
    <w:rsid w:val="2C0833AD"/>
    <w:rsid w:val="2C8478F1"/>
    <w:rsid w:val="2CFB6EDA"/>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EA4709"/>
    <w:rsid w:val="3AEB1C60"/>
    <w:rsid w:val="3B0A6B5A"/>
    <w:rsid w:val="3B4B164C"/>
    <w:rsid w:val="3B6A683B"/>
    <w:rsid w:val="3B892174"/>
    <w:rsid w:val="3CA73615"/>
    <w:rsid w:val="3DBD6105"/>
    <w:rsid w:val="3DE23DBE"/>
    <w:rsid w:val="3E0633EE"/>
    <w:rsid w:val="3E222F7F"/>
    <w:rsid w:val="3E305F64"/>
    <w:rsid w:val="3E6F38A3"/>
    <w:rsid w:val="3E7F2B45"/>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3A7FF0"/>
    <w:rsid w:val="434F5A51"/>
    <w:rsid w:val="451D704F"/>
    <w:rsid w:val="457E7FAC"/>
    <w:rsid w:val="45B47174"/>
    <w:rsid w:val="45D10756"/>
    <w:rsid w:val="46701BD3"/>
    <w:rsid w:val="46756CDE"/>
    <w:rsid w:val="46A460B4"/>
    <w:rsid w:val="46B04A59"/>
    <w:rsid w:val="46BA646D"/>
    <w:rsid w:val="46FC24A1"/>
    <w:rsid w:val="470D1149"/>
    <w:rsid w:val="4732546E"/>
    <w:rsid w:val="47503B46"/>
    <w:rsid w:val="47EC01A1"/>
    <w:rsid w:val="485831BD"/>
    <w:rsid w:val="48CB3DCC"/>
    <w:rsid w:val="490E5A67"/>
    <w:rsid w:val="492900B7"/>
    <w:rsid w:val="494C2D19"/>
    <w:rsid w:val="495112C6"/>
    <w:rsid w:val="496112DB"/>
    <w:rsid w:val="496B4C67"/>
    <w:rsid w:val="49D56585"/>
    <w:rsid w:val="49EA3855"/>
    <w:rsid w:val="4A2475A4"/>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7A753A"/>
    <w:rsid w:val="50C41F9B"/>
    <w:rsid w:val="50C72F56"/>
    <w:rsid w:val="514279CB"/>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6DC53F6"/>
    <w:rsid w:val="571A66C4"/>
    <w:rsid w:val="57DC0D06"/>
    <w:rsid w:val="58220680"/>
    <w:rsid w:val="58481E52"/>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A35225"/>
    <w:rsid w:val="61B228BF"/>
    <w:rsid w:val="626055AF"/>
    <w:rsid w:val="62804CAC"/>
    <w:rsid w:val="629C67BC"/>
    <w:rsid w:val="62E670F3"/>
    <w:rsid w:val="630C6032"/>
    <w:rsid w:val="63C35974"/>
    <w:rsid w:val="656B46CF"/>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23E08BB"/>
    <w:rsid w:val="72A471DF"/>
    <w:rsid w:val="72F07C93"/>
    <w:rsid w:val="731D7F10"/>
    <w:rsid w:val="73522870"/>
    <w:rsid w:val="737F09F7"/>
    <w:rsid w:val="73BC1D93"/>
    <w:rsid w:val="74624D35"/>
    <w:rsid w:val="74D001FC"/>
    <w:rsid w:val="74E67981"/>
    <w:rsid w:val="756A1E27"/>
    <w:rsid w:val="75DB056E"/>
    <w:rsid w:val="75FB64DD"/>
    <w:rsid w:val="76300070"/>
    <w:rsid w:val="768B56A2"/>
    <w:rsid w:val="770025E3"/>
    <w:rsid w:val="77271704"/>
    <w:rsid w:val="777BE1E5"/>
    <w:rsid w:val="777F4E56"/>
    <w:rsid w:val="777FFB5A"/>
    <w:rsid w:val="77C01083"/>
    <w:rsid w:val="77F9BDFE"/>
    <w:rsid w:val="780659D7"/>
    <w:rsid w:val="789A7408"/>
    <w:rsid w:val="78BA0F66"/>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641E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rPr>
  </w:style>
  <w:style w:type="paragraph" w:styleId="3">
    <w:name w:val="annotation text"/>
    <w:basedOn w:val="1"/>
    <w:link w:val="17"/>
    <w:qFormat/>
    <w:uiPriority w:val="0"/>
    <w:pPr>
      <w:jc w:val="left"/>
    </w:pPr>
    <w:rPr>
      <w:rFonts w:ascii="Calibri" w:hAnsi="Calibri"/>
      <w:lang w:val="zh-CN"/>
    </w:rPr>
  </w:style>
  <w:style w:type="paragraph" w:styleId="4">
    <w:name w:val="Body Text"/>
    <w:basedOn w:val="1"/>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字符"/>
    <w:link w:val="3"/>
    <w:autoRedefine/>
    <w:qFormat/>
    <w:uiPriority w:val="0"/>
    <w:rPr>
      <w:rFonts w:ascii="Calibri" w:hAnsi="Calibri"/>
      <w:kern w:val="2"/>
      <w:sz w:val="21"/>
      <w:szCs w:val="24"/>
    </w:rPr>
  </w:style>
  <w:style w:type="character" w:customStyle="1" w:styleId="18">
    <w:name w:val="正文文本缩进 字符"/>
    <w:link w:val="5"/>
    <w:qFormat/>
    <w:uiPriority w:val="0"/>
    <w:rPr>
      <w:rFonts w:ascii="宋体" w:hAnsi="宋体"/>
      <w:kern w:val="2"/>
      <w:sz w:val="30"/>
      <w:szCs w:val="30"/>
    </w:rPr>
  </w:style>
  <w:style w:type="character" w:customStyle="1" w:styleId="19">
    <w:name w:val="批注框文本 字符"/>
    <w:link w:val="6"/>
    <w:autoRedefine/>
    <w:qFormat/>
    <w:uiPriority w:val="0"/>
    <w:rPr>
      <w:kern w:val="2"/>
      <w:sz w:val="18"/>
      <w:szCs w:val="18"/>
    </w:rPr>
  </w:style>
  <w:style w:type="character" w:customStyle="1" w:styleId="20">
    <w:name w:val="页脚 字符"/>
    <w:link w:val="7"/>
    <w:autoRedefine/>
    <w:qFormat/>
    <w:uiPriority w:val="99"/>
    <w:rPr>
      <w:kern w:val="2"/>
      <w:sz w:val="18"/>
      <w:szCs w:val="18"/>
    </w:rPr>
  </w:style>
  <w:style w:type="character" w:customStyle="1" w:styleId="21">
    <w:name w:val="批注主题 字符"/>
    <w:link w:val="10"/>
    <w:qFormat/>
    <w:uiPriority w:val="0"/>
    <w:rPr>
      <w:rFonts w:ascii="Calibri" w:hAnsi="Calibri"/>
      <w:b/>
      <w:bCs/>
      <w:kern w:val="2"/>
      <w:sz w:val="21"/>
      <w:szCs w:val="24"/>
    </w:rPr>
  </w:style>
  <w:style w:type="paragraph" w:customStyle="1" w:styleId="22">
    <w:name w:val="Char Char Char Char"/>
    <w:basedOn w:val="1"/>
    <w:qFormat/>
    <w:uiPriority w:val="0"/>
    <w:pPr>
      <w:widowControl/>
      <w:spacing w:after="160" w:line="240" w:lineRule="exact"/>
      <w:jc w:val="left"/>
    </w:pPr>
  </w:style>
  <w:style w:type="paragraph" w:styleId="23">
    <w:name w:val="List Paragraph"/>
    <w:basedOn w:val="1"/>
    <w:qFormat/>
    <w:uiPriority w:val="99"/>
    <w:pPr>
      <w:ind w:left="138" w:right="436" w:firstLine="638"/>
    </w:pPr>
    <w:rPr>
      <w:rFonts w:ascii="宋体" w:hAnsi="宋体" w:cs="宋体"/>
      <w:lang w:val="zh-CN" w:bidi="zh-CN"/>
    </w:rPr>
  </w:style>
  <w:style w:type="paragraph" w:customStyle="1" w:styleId="24">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5">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1059</Words>
  <Characters>6038</Characters>
  <Lines>50</Lines>
  <Paragraphs>14</Paragraphs>
  <TotalTime>111</TotalTime>
  <ScaleCrop>false</ScaleCrop>
  <LinksUpToDate>false</LinksUpToDate>
  <CharactersWithSpaces>7083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李杰安</cp:lastModifiedBy>
  <cp:lastPrinted>2024-01-14T06:37:00Z</cp:lastPrinted>
  <dcterms:modified xsi:type="dcterms:W3CDTF">2024-01-26T12:25:02Z</dcterms:modified>
  <dc:title>湖南商务职业技术学院2014年招生章程</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D872414D538C412886B9683297682F1D_13</vt:lpwstr>
  </property>
</Properties>
</file>