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BB" w:rsidRDefault="00877A93">
      <w:pPr>
        <w:pStyle w:val="1"/>
        <w:spacing w:before="0" w:after="0" w:line="240" w:lineRule="auto"/>
        <w:jc w:val="center"/>
        <w:rPr>
          <w:rFonts w:eastAsia="黑体"/>
        </w:rPr>
      </w:pPr>
      <w:bookmarkStart w:id="0" w:name="_Toc217733138"/>
      <w:r>
        <w:rPr>
          <w:rFonts w:eastAsia="黑体"/>
          <w:kern w:val="0"/>
        </w:rPr>
        <w:t>《药物化学》课程考核大纲</w:t>
      </w:r>
      <w:bookmarkEnd w:id="0"/>
    </w:p>
    <w:p w:rsidR="00D260BB" w:rsidRDefault="00877A93">
      <w:pPr>
        <w:pStyle w:val="HTML"/>
        <w:rPr>
          <w:rFonts w:ascii="Times New Roman" w:eastAsia="宋体" w:hAnsi="Times New Roman"/>
          <w:sz w:val="24"/>
        </w:rPr>
      </w:pPr>
      <w:r>
        <w:rPr>
          <w:rFonts w:ascii="Times New Roman" w:hAnsi="Times New Roman"/>
          <w:b/>
          <w:sz w:val="28"/>
          <w:szCs w:val="28"/>
        </w:rPr>
        <w:t>一、课程编号</w:t>
      </w:r>
      <w:r>
        <w:rPr>
          <w:rFonts w:ascii="Times New Roman" w:eastAsia="宋体" w:hAnsi="Times New Roman"/>
          <w:sz w:val="24"/>
        </w:rPr>
        <w:t xml:space="preserve"> </w:t>
      </w:r>
    </w:p>
    <w:p w:rsidR="00D260BB" w:rsidRDefault="00877A93">
      <w:pPr>
        <w:pStyle w:val="HTM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D260BB" w:rsidRDefault="00877A93" w:rsidP="00877A93">
      <w:pPr>
        <w:pStyle w:val="HTML"/>
        <w:rPr>
          <w:rFonts w:ascii="Times New Roman" w:eastAsia="宋体" w:hAnsi="Times New Roman"/>
          <w:sz w:val="24"/>
        </w:rPr>
      </w:pPr>
      <w:r>
        <w:rPr>
          <w:rFonts w:ascii="Times New Roman" w:hAnsi="Times New Roman"/>
          <w:b/>
          <w:sz w:val="28"/>
          <w:szCs w:val="28"/>
        </w:rPr>
        <w:t>二、课程类别：</w:t>
      </w:r>
      <w:r>
        <w:rPr>
          <w:rFonts w:ascii="Times New Roman" w:eastAsia="宋体" w:hAnsi="Times New Roman"/>
          <w:sz w:val="24"/>
        </w:rPr>
        <w:t>药学专业专升本课程</w:t>
      </w:r>
    </w:p>
    <w:p w:rsidR="00D260BB" w:rsidRDefault="00877A93">
      <w:pPr>
        <w:pStyle w:val="HTM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三、编写说明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77A93" w:rsidRDefault="00877A93" w:rsidP="00877A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360" w:lineRule="auto"/>
        <w:ind w:firstLine="48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、本考核大纲参考</w:t>
      </w:r>
      <w:r w:rsidRPr="00877A93">
        <w:rPr>
          <w:rFonts w:ascii="Times New Roman" w:hAnsi="Times New Roman" w:hint="eastAsia"/>
          <w:sz w:val="24"/>
        </w:rPr>
        <w:t>尤启冬</w:t>
      </w:r>
      <w:r>
        <w:rPr>
          <w:rFonts w:ascii="Times New Roman" w:hAnsi="Times New Roman"/>
          <w:sz w:val="24"/>
        </w:rPr>
        <w:t>主编的教材《</w:t>
      </w:r>
      <w:r w:rsidRPr="00877A93">
        <w:rPr>
          <w:rFonts w:ascii="Times New Roman" w:hAnsi="Times New Roman" w:hint="eastAsia"/>
          <w:sz w:val="24"/>
        </w:rPr>
        <w:t>.</w:t>
      </w:r>
      <w:r w:rsidRPr="00877A93">
        <w:rPr>
          <w:rFonts w:ascii="Times New Roman" w:hAnsi="Times New Roman" w:hint="eastAsia"/>
          <w:sz w:val="24"/>
        </w:rPr>
        <w:t>药物化学</w:t>
      </w:r>
      <w:r>
        <w:rPr>
          <w:rFonts w:ascii="Times New Roman" w:hAnsi="Times New Roman"/>
          <w:sz w:val="24"/>
        </w:rPr>
        <w:t>》进行编写。</w:t>
      </w:r>
    </w:p>
    <w:p w:rsidR="00877A93" w:rsidRDefault="00877A93" w:rsidP="00877A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360" w:lineRule="auto"/>
        <w:ind w:firstLine="48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、本大纲适用于药学专业专升本考试。</w:t>
      </w:r>
    </w:p>
    <w:p w:rsidR="00D260BB" w:rsidRDefault="00D260BB">
      <w:pPr>
        <w:pStyle w:val="HTML"/>
        <w:ind w:firstLineChars="200" w:firstLine="480"/>
        <w:rPr>
          <w:rFonts w:ascii="Times New Roman" w:eastAsia="宋体" w:hAnsi="Times New Roman"/>
          <w:sz w:val="24"/>
        </w:rPr>
      </w:pPr>
    </w:p>
    <w:p w:rsidR="00D260BB" w:rsidRDefault="00877A93" w:rsidP="00D260BB">
      <w:pPr>
        <w:pStyle w:val="HTML"/>
        <w:spacing w:beforeLines="30" w:afterLines="3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四、课程考核的要求与知识点</w:t>
      </w:r>
    </w:p>
    <w:p w:rsidR="00D260BB" w:rsidRDefault="00877A93" w:rsidP="00D260BB">
      <w:pPr>
        <w:widowControl/>
        <w:spacing w:beforeLines="30" w:afterLines="30"/>
        <w:ind w:firstLineChars="200" w:firstLine="48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第一章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绪论</w:t>
      </w:r>
    </w:p>
    <w:p w:rsidR="00D260BB" w:rsidRDefault="00877A93" w:rsidP="00D260BB">
      <w:pPr>
        <w:widowControl/>
        <w:spacing w:beforeLines="30" w:afterLines="30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、识记：（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sz w:val="24"/>
          <w:szCs w:val="24"/>
        </w:rPr>
        <w:t>药物的命名要求。</w:t>
      </w:r>
    </w:p>
    <w:p w:rsidR="00D260BB" w:rsidRDefault="00877A93" w:rsidP="00D260BB">
      <w:pPr>
        <w:widowControl/>
        <w:spacing w:beforeLines="30" w:afterLines="30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、理解：（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）药物化学的研究内容及任务。（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）药物化学发展史。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260BB" w:rsidRDefault="00D260BB" w:rsidP="00D260BB">
      <w:pPr>
        <w:widowControl/>
        <w:spacing w:beforeLines="30" w:afterLines="30"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第二章</w:t>
      </w:r>
      <w:r>
        <w:rPr>
          <w:rFonts w:ascii="Times New Roman" w:hAnsi="Times New Roman" w:cs="Times New Roman"/>
          <w:b/>
          <w:kern w:val="2"/>
        </w:rPr>
        <w:t xml:space="preserve">  </w:t>
      </w:r>
      <w:r>
        <w:rPr>
          <w:rFonts w:ascii="Times New Roman" w:hAnsi="Times New Roman" w:cs="Times New Roman"/>
          <w:b/>
          <w:kern w:val="2"/>
        </w:rPr>
        <w:t>新药设计与开发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）药物在体内作用靶点的种类及特点，药物作用的体内过程。（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）药物产生药效的决定因素，掌握溶解度、分配系数、解离度、基本结构、电子密度、键合特性及立体结构等因素对药效的影响。（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）寻找先导物的基本途径。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、熟悉利用电子等排原理、前药原理、软药设计及定量构效关系来优化先导物的方法。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kern w:val="2"/>
        </w:rPr>
        <w:t xml:space="preserve">  2</w:t>
      </w:r>
      <w:r>
        <w:rPr>
          <w:rFonts w:ascii="Times New Roman" w:hAnsi="Times New Roman" w:cs="Times New Roman"/>
          <w:kern w:val="2"/>
        </w:rPr>
        <w:t>、理解：（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）计算机辅助药物设计的有关原理和方法。（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）利用基因工程技术来开发新药的方法。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both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第三章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药物代谢反应</w:t>
      </w:r>
      <w:r>
        <w:rPr>
          <w:rFonts w:ascii="Times New Roman" w:hAnsi="Times New Roman" w:cs="Times New Roman"/>
          <w:b/>
          <w:kern w:val="2"/>
        </w:rPr>
        <w:t xml:space="preserve"> 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18" w:firstLine="283"/>
        <w:jc w:val="center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）药物代谢酶。（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）第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相生物转化。（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）第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相生物转化。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18" w:firstLine="283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、理解：药物代谢在药物研究中的作用</w:t>
      </w:r>
      <w:r>
        <w:rPr>
          <w:rFonts w:ascii="Times New Roman" w:hAnsi="Times New Roman" w:cs="Times New Roman"/>
          <w:kern w:val="2"/>
        </w:rPr>
        <w:t xml:space="preserve"> 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lastRenderedPageBreak/>
        <w:t>第四章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中枢神经系统药物</w:t>
      </w:r>
      <w:r>
        <w:rPr>
          <w:rFonts w:ascii="Times New Roman" w:hAnsi="Times New Roman" w:cs="Times New Roman"/>
          <w:b/>
          <w:kern w:val="2"/>
        </w:rPr>
        <w:t xml:space="preserve"> 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、识记：</w:t>
      </w:r>
      <w:r>
        <w:rPr>
          <w:rFonts w:ascii="Times New Roman" w:hAnsi="Times New Roman" w:cs="Times New Roman"/>
          <w:kern w:val="2"/>
        </w:rPr>
        <w:t>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）异戊巴比妥结构、通用名、化学名、理化性质、体内代谢及临床应用。（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）巴比妥类药物构效关系。（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）氯氮卓、硝西泮、奥沙西泮、阿普唑仑的结构、通用名及应用。（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）苯妥英钠、卡马西平的结构、通用名、化学名、理化性质、体内代谢及应用。（</w:t>
      </w:r>
      <w:r>
        <w:rPr>
          <w:rFonts w:ascii="Times New Roman" w:hAnsi="Times New Roman" w:cs="Times New Roman"/>
          <w:kern w:val="2"/>
        </w:rPr>
        <w:t>5</w:t>
      </w:r>
      <w:r>
        <w:rPr>
          <w:rFonts w:ascii="Times New Roman" w:hAnsi="Times New Roman" w:cs="Times New Roman"/>
          <w:kern w:val="2"/>
        </w:rPr>
        <w:t>）奋乃静、氟奋乃静、奋乃静庚酸酯的结构通用名及应用。（</w:t>
      </w:r>
      <w:r>
        <w:rPr>
          <w:rFonts w:ascii="Times New Roman" w:hAnsi="Times New Roman" w:cs="Times New Roman"/>
          <w:kern w:val="2"/>
        </w:rPr>
        <w:t>6</w:t>
      </w:r>
      <w:r>
        <w:rPr>
          <w:rFonts w:ascii="Times New Roman" w:hAnsi="Times New Roman" w:cs="Times New Roman"/>
          <w:kern w:val="2"/>
        </w:rPr>
        <w:t>）氟哌啶醇、舒必利、盐酸丙咪嗪、盐酸阿米替林的结构、通用名、化学名及应用。（</w:t>
      </w:r>
      <w:r>
        <w:rPr>
          <w:rFonts w:ascii="Times New Roman" w:hAnsi="Times New Roman" w:cs="Times New Roman"/>
          <w:kern w:val="2"/>
        </w:rPr>
        <w:t>7</w:t>
      </w:r>
      <w:r>
        <w:rPr>
          <w:rFonts w:ascii="Times New Roman" w:hAnsi="Times New Roman" w:cs="Times New Roman"/>
          <w:kern w:val="2"/>
        </w:rPr>
        <w:t>）吗啡的结构，化学名、理化性质、体内代谢、临床应用及其毒副作</w:t>
      </w:r>
      <w:r>
        <w:rPr>
          <w:rFonts w:ascii="Times New Roman" w:hAnsi="Times New Roman" w:cs="Times New Roman"/>
          <w:kern w:val="2"/>
        </w:rPr>
        <w:t>用，吗啡结构改造产物及其合成代用品的结构类型。（</w:t>
      </w:r>
      <w:r>
        <w:rPr>
          <w:rFonts w:ascii="Times New Roman" w:hAnsi="Times New Roman" w:cs="Times New Roman"/>
          <w:kern w:val="2"/>
        </w:rPr>
        <w:t>8</w:t>
      </w:r>
      <w:r>
        <w:rPr>
          <w:rFonts w:ascii="Times New Roman" w:hAnsi="Times New Roman" w:cs="Times New Roman"/>
          <w:kern w:val="2"/>
        </w:rPr>
        <w:t>）可待因、盐酸纳洛酮、盐酸哌替啶的结构、通用名及应用。（</w:t>
      </w:r>
      <w:r>
        <w:rPr>
          <w:rFonts w:ascii="Times New Roman" w:hAnsi="Times New Roman" w:cs="Times New Roman"/>
          <w:kern w:val="2"/>
        </w:rPr>
        <w:t>9</w:t>
      </w:r>
      <w:r>
        <w:rPr>
          <w:rFonts w:ascii="Times New Roman" w:hAnsi="Times New Roman" w:cs="Times New Roman"/>
          <w:kern w:val="2"/>
        </w:rPr>
        <w:t>）内源性镇痛物质的结构特点。（</w:t>
      </w:r>
      <w:r>
        <w:rPr>
          <w:rFonts w:ascii="Times New Roman" w:hAnsi="Times New Roman" w:cs="Times New Roman"/>
          <w:kern w:val="2"/>
        </w:rPr>
        <w:t>10</w:t>
      </w:r>
      <w:r>
        <w:rPr>
          <w:rFonts w:ascii="Times New Roman" w:hAnsi="Times New Roman" w:cs="Times New Roman"/>
          <w:kern w:val="2"/>
        </w:rPr>
        <w:t>）吗啡及其类似物的结构特征及设想中的吗啡受体的模式图象。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、运用或掌握：（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）地西泮的结构、通用名、化学名、合成路线、理化性质、体内代谢及应用。（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）盐酸美沙酮的结构、通用名、化学名、理化性质、合成路线、体内代谢及临床应用。（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）盐酸氯丙嗪的结构、通用名、化学名、合成路线、理化性质、体内代谢及应用。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第五章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外周神经系统用药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、识记：</w:t>
      </w:r>
      <w:r>
        <w:rPr>
          <w:rFonts w:ascii="Times New Roman" w:hAnsi="Times New Roman" w:cs="Times New Roman"/>
          <w:kern w:val="2"/>
        </w:rPr>
        <w:t>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）乙酰胆碱的生物合成及代</w:t>
      </w:r>
      <w:r>
        <w:rPr>
          <w:rFonts w:ascii="Times New Roman" w:hAnsi="Times New Roman" w:cs="Times New Roman"/>
          <w:kern w:val="2"/>
        </w:rPr>
        <w:t>谢。（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）氯贝胆碱的结构、通用名、化学名及应用。（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）拟胆碱药的构效关系。（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）非经典抗胆碱酯酶药（抗老年痴呆药）他克林、多萘培齐、雷沃斯的明、美曲磷脂的结构及应用。（</w:t>
      </w:r>
      <w:r>
        <w:rPr>
          <w:rFonts w:ascii="Times New Roman" w:hAnsi="Times New Roman" w:cs="Times New Roman"/>
          <w:kern w:val="2"/>
        </w:rPr>
        <w:t>5</w:t>
      </w:r>
      <w:r>
        <w:rPr>
          <w:rFonts w:ascii="Times New Roman" w:hAnsi="Times New Roman" w:cs="Times New Roman"/>
          <w:kern w:val="2"/>
        </w:rPr>
        <w:t>）抗胆碱药的分类方法（按作用机制及按来源分类方法）。（</w:t>
      </w:r>
      <w:r>
        <w:rPr>
          <w:rFonts w:ascii="Times New Roman" w:hAnsi="Times New Roman" w:cs="Times New Roman"/>
          <w:kern w:val="2"/>
        </w:rPr>
        <w:t>6</w:t>
      </w:r>
      <w:r>
        <w:rPr>
          <w:rFonts w:ascii="Times New Roman" w:hAnsi="Times New Roman" w:cs="Times New Roman"/>
          <w:kern w:val="2"/>
        </w:rPr>
        <w:t>）硫酸阿托品、氢溴酸山莨菪碱、泮库溴铵的结构、通用名、化学名、理化性质及应用。（</w:t>
      </w:r>
      <w:r>
        <w:rPr>
          <w:rFonts w:ascii="Times New Roman" w:hAnsi="Times New Roman" w:cs="Times New Roman"/>
          <w:kern w:val="2"/>
        </w:rPr>
        <w:t>7</w:t>
      </w:r>
      <w:r>
        <w:rPr>
          <w:rFonts w:ascii="Times New Roman" w:hAnsi="Times New Roman" w:cs="Times New Roman"/>
          <w:kern w:val="2"/>
        </w:rPr>
        <w:t>）溴丙胺太林的结构、通用名、化学名及应用。（</w:t>
      </w:r>
      <w:r>
        <w:rPr>
          <w:rFonts w:ascii="Times New Roman" w:hAnsi="Times New Roman" w:cs="Times New Roman"/>
          <w:kern w:val="2"/>
        </w:rPr>
        <w:t>8</w:t>
      </w:r>
      <w:r>
        <w:rPr>
          <w:rFonts w:ascii="Times New Roman" w:hAnsi="Times New Roman" w:cs="Times New Roman"/>
          <w:kern w:val="2"/>
        </w:rPr>
        <w:t>）氢溴酸东莨菪碱、丁溴东莨菪碱、右旋氯筒箭毒碱、去甲肾上腺素、异丙肾上腺素的结构及应用。（</w:t>
      </w:r>
      <w:r>
        <w:rPr>
          <w:rFonts w:ascii="Times New Roman" w:hAnsi="Times New Roman" w:cs="Times New Roman"/>
          <w:kern w:val="2"/>
        </w:rPr>
        <w:t>9</w:t>
      </w:r>
      <w:r>
        <w:rPr>
          <w:rFonts w:ascii="Times New Roman" w:hAnsi="Times New Roman" w:cs="Times New Roman"/>
          <w:kern w:val="2"/>
        </w:rPr>
        <w:t>）盐酸麻黄碱、盐酸伪麻黄碱、沙丁胺醇的结构、通用名、化学名及用途。</w:t>
      </w:r>
      <w:r>
        <w:rPr>
          <w:rFonts w:ascii="Times New Roman" w:hAnsi="Times New Roman" w:cs="Times New Roman"/>
          <w:kern w:val="2"/>
        </w:rPr>
        <w:t>（</w:t>
      </w:r>
      <w:r>
        <w:rPr>
          <w:rFonts w:ascii="Times New Roman" w:hAnsi="Times New Roman" w:cs="Times New Roman"/>
          <w:kern w:val="2"/>
        </w:rPr>
        <w:t>10</w:t>
      </w:r>
      <w:r>
        <w:rPr>
          <w:rFonts w:ascii="Times New Roman" w:hAnsi="Times New Roman" w:cs="Times New Roman"/>
          <w:kern w:val="2"/>
        </w:rPr>
        <w:t>）组织胺的结构、生理作用及</w:t>
      </w:r>
      <w:r>
        <w:rPr>
          <w:rFonts w:ascii="Times New Roman" w:hAnsi="Times New Roman" w:cs="Times New Roman"/>
          <w:kern w:val="2"/>
        </w:rPr>
        <w:t>H1</w:t>
      </w:r>
      <w:r>
        <w:rPr>
          <w:rFonts w:ascii="Times New Roman" w:hAnsi="Times New Roman" w:cs="Times New Roman"/>
          <w:kern w:val="2"/>
        </w:rPr>
        <w:t>受体拮抗剂的结构类型。（</w:t>
      </w:r>
      <w:r>
        <w:rPr>
          <w:rFonts w:ascii="Times New Roman" w:hAnsi="Times New Roman" w:cs="Times New Roman"/>
          <w:kern w:val="2"/>
        </w:rPr>
        <w:t>11</w:t>
      </w:r>
      <w:r>
        <w:rPr>
          <w:rFonts w:ascii="Times New Roman" w:hAnsi="Times New Roman" w:cs="Times New Roman"/>
          <w:kern w:val="2"/>
        </w:rPr>
        <w:t>）盐酸赛庚啶、盐酸西替利嗪的结构、通用名、化学名及应用。（</w:t>
      </w:r>
      <w:r>
        <w:rPr>
          <w:rFonts w:ascii="Times New Roman" w:hAnsi="Times New Roman" w:cs="Times New Roman"/>
          <w:kern w:val="2"/>
        </w:rPr>
        <w:t>12</w:t>
      </w:r>
      <w:r>
        <w:rPr>
          <w:rFonts w:ascii="Times New Roman" w:hAnsi="Times New Roman" w:cs="Times New Roman"/>
          <w:kern w:val="2"/>
        </w:rPr>
        <w:t>）局部麻醉药的结构类型及可卡因的结构优化过程。（</w:t>
      </w:r>
      <w:r>
        <w:rPr>
          <w:rFonts w:ascii="Times New Roman" w:hAnsi="Times New Roman" w:cs="Times New Roman"/>
          <w:kern w:val="2"/>
        </w:rPr>
        <w:t>13</w:t>
      </w:r>
      <w:r>
        <w:rPr>
          <w:rFonts w:ascii="Times New Roman" w:hAnsi="Times New Roman" w:cs="Times New Roman"/>
          <w:kern w:val="2"/>
        </w:rPr>
        <w:t>）盐酸利多卡因、盐酸达克罗宁的结构、通用名及用途。（</w:t>
      </w:r>
      <w:r>
        <w:rPr>
          <w:rFonts w:ascii="Times New Roman" w:hAnsi="Times New Roman" w:cs="Times New Roman"/>
          <w:kern w:val="2"/>
        </w:rPr>
        <w:t>14</w:t>
      </w:r>
      <w:r>
        <w:rPr>
          <w:rFonts w:ascii="Times New Roman" w:hAnsi="Times New Roman" w:cs="Times New Roman"/>
          <w:kern w:val="2"/>
        </w:rPr>
        <w:t>）局部麻药的构效关系。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2</w:t>
      </w:r>
      <w:r>
        <w:rPr>
          <w:rFonts w:ascii="Times New Roman" w:hAnsi="Times New Roman" w:cs="Times New Roman"/>
          <w:kern w:val="2"/>
        </w:rPr>
        <w:t>、运用或掌握：（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）溴新斯的明的结构、通用名、化学名、理化性质、合成路线、作用机制、体内代谢及临床应用。（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）肾上腺素的结构、通用名、化学名、合成路线、理化性质、体内代谢及临床应用。（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）马来酸氯苯那敏、盐酸普鲁卡因的结构、通用名、化学名、合成路线、理</w:t>
      </w:r>
      <w:r>
        <w:rPr>
          <w:rFonts w:ascii="Times New Roman" w:hAnsi="Times New Roman" w:cs="Times New Roman"/>
          <w:kern w:val="2"/>
        </w:rPr>
        <w:t>化性质、体内代谢及应用。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第六章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循环系统药物</w:t>
      </w:r>
      <w:r>
        <w:rPr>
          <w:rFonts w:ascii="Times New Roman" w:hAnsi="Times New Roman" w:cs="Times New Roman"/>
          <w:b/>
          <w:kern w:val="2"/>
        </w:rPr>
        <w:t xml:space="preserve"> 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）酒石酸美托洛尔的结构、化学名及应用，纳多洛尔、吲哚洛尔、艾司洛尔、阿替洛尔的结构及应用。盐酸地尔硫卓、盐酸维拉帕米的结构、化学名、代谢及应用。（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）钠通道阻滞剂的分类及各类药物的作用特点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识记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kern w:val="2"/>
        </w:rPr>
        <w:t>。详细讲解硫酸奎尼丁的结构、化学名及应用。（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</w:t>
      </w:r>
      <w:r>
        <w:rPr>
          <w:rFonts w:ascii="Times New Roman" w:hAnsi="Times New Roman" w:cs="Times New Roman"/>
          <w:kern w:val="2"/>
        </w:rPr>
        <w:t>ACEI</w:t>
      </w:r>
      <w:r>
        <w:rPr>
          <w:rFonts w:ascii="Times New Roman" w:hAnsi="Times New Roman" w:cs="Times New Roman"/>
          <w:kern w:val="2"/>
        </w:rPr>
        <w:t>及</w:t>
      </w:r>
      <w:r>
        <w:rPr>
          <w:rFonts w:ascii="Times New Roman" w:hAnsi="Times New Roman" w:cs="Times New Roman"/>
          <w:kern w:val="2"/>
        </w:rPr>
        <w:t>AngⅡ</w:t>
      </w:r>
      <w:r>
        <w:rPr>
          <w:rFonts w:ascii="Times New Roman" w:hAnsi="Times New Roman" w:cs="Times New Roman"/>
          <w:kern w:val="2"/>
        </w:rPr>
        <w:t>受体拮抗剂的作用机制；详细讲解氯沙坦的结构、化学名及应用。（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</w:t>
      </w:r>
      <w:r>
        <w:rPr>
          <w:rFonts w:ascii="Times New Roman" w:hAnsi="Times New Roman" w:cs="Times New Roman"/>
          <w:kern w:val="2"/>
        </w:rPr>
        <w:t>NO</w:t>
      </w:r>
      <w:r>
        <w:rPr>
          <w:rFonts w:ascii="Times New Roman" w:hAnsi="Times New Roman" w:cs="Times New Roman"/>
          <w:kern w:val="2"/>
        </w:rPr>
        <w:t>供体药物的作用机制；硝酸异山梨酯、吗多明、硝普钠的结构及应用；米力农、多巴酚丁胺、匹莫苯的结构及应用。（</w:t>
      </w:r>
      <w:r>
        <w:rPr>
          <w:rFonts w:ascii="Times New Roman" w:hAnsi="Times New Roman" w:cs="Times New Roman"/>
          <w:kern w:val="2"/>
        </w:rPr>
        <w:t>5</w:t>
      </w:r>
      <w:r>
        <w:rPr>
          <w:rFonts w:ascii="Times New Roman" w:hAnsi="Times New Roman" w:cs="Times New Roman"/>
          <w:kern w:val="2"/>
        </w:rPr>
        <w:t>）抗血栓药</w:t>
      </w:r>
      <w:r>
        <w:rPr>
          <w:rFonts w:ascii="Times New Roman" w:hAnsi="Times New Roman" w:cs="Times New Roman"/>
          <w:kern w:val="2"/>
        </w:rPr>
        <w:t>的分类；氯吡格雷、华法林钠的结构、化学名及应用；详细讲解阿司匹林的抗血栓机制。（</w:t>
      </w:r>
      <w:r>
        <w:rPr>
          <w:rFonts w:ascii="Times New Roman" w:hAnsi="Times New Roman" w:cs="Times New Roman"/>
          <w:kern w:val="2"/>
        </w:rPr>
        <w:t>6</w:t>
      </w:r>
      <w:r>
        <w:rPr>
          <w:rFonts w:ascii="Times New Roman" w:hAnsi="Times New Roman" w:cs="Times New Roman"/>
          <w:kern w:val="2"/>
        </w:rPr>
        <w:t>）利血平的结构特点、化学名及应用。（</w:t>
      </w:r>
      <w:r>
        <w:rPr>
          <w:rFonts w:ascii="Times New Roman" w:hAnsi="Times New Roman" w:cs="Times New Roman"/>
          <w:kern w:val="2"/>
        </w:rPr>
        <w:t>7</w:t>
      </w:r>
      <w:r>
        <w:rPr>
          <w:rFonts w:ascii="Times New Roman" w:hAnsi="Times New Roman" w:cs="Times New Roman"/>
          <w:kern w:val="2"/>
        </w:rPr>
        <w:t>）调血脂药的类型及作用机制，他汀类药物的构效关系，辛伐他汀、阿托伐他汀、普伐他汀、吉非罗齐、非诺贝特及烟酸的结构及应用。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、运用或掌握：（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</w:t>
      </w:r>
      <w:r>
        <w:rPr>
          <w:rFonts w:ascii="Times New Roman" w:hAnsi="Times New Roman" w:cs="Times New Roman"/>
          <w:kern w:val="2"/>
        </w:rPr>
        <w:t>β-</w:t>
      </w:r>
      <w:r>
        <w:rPr>
          <w:rFonts w:ascii="Times New Roman" w:hAnsi="Times New Roman" w:cs="Times New Roman"/>
          <w:kern w:val="2"/>
        </w:rPr>
        <w:t>受体阻滞剂的分类及各类药物的作用特点，</w:t>
      </w:r>
      <w:r>
        <w:rPr>
          <w:rFonts w:ascii="Times New Roman" w:hAnsi="Times New Roman" w:cs="Times New Roman"/>
          <w:kern w:val="2"/>
        </w:rPr>
        <w:t>β-</w:t>
      </w:r>
      <w:r>
        <w:rPr>
          <w:rFonts w:ascii="Times New Roman" w:hAnsi="Times New Roman" w:cs="Times New Roman"/>
          <w:kern w:val="2"/>
        </w:rPr>
        <w:t>受体阻滞剂的构效关系，盐酸普萘洛尔的结构、化学名、理化性质、体内代谢、临床应用及合成路线。（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）钙通道阻滞剂的分类及构效关系，硝苯地平的结构、化学名、理化性质、体内代谢、临床应用及合成路线。盐酸胺碘酮的</w:t>
      </w:r>
      <w:r>
        <w:rPr>
          <w:rFonts w:ascii="Times New Roman" w:hAnsi="Times New Roman" w:cs="Times New Roman"/>
          <w:kern w:val="2"/>
        </w:rPr>
        <w:t>结构、化学名、理化性质、体内代谢、临床应用及合成路线。（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）卡托普利的结构、化学名、理化性质、体内代谢、临床应用及合成路线。硝酸甘油的结构、化学名、理化性质、体内代谢及临床应用。地高辛的结构、理化性质、代谢、作用机制及临床应用。（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）洛伐他汀的结构、化学名、理化性质、体内代谢及临床应用。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lastRenderedPageBreak/>
        <w:t>第七章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消化系统药物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）抗溃疡药物的结构类型和作用机制。（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）止吐药的结构类型和作用机制；地芬尼多的结构、化学名称及用途。（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）多潘立酮的结构、化学名称及用途。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、运用或掌握：（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）西咪替丁、雷尼替丁的结构、化学名称、理化性质、体内代谢及用途。（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）重点阐述昂丹斯琼的结构、化学名称、理化性质、体内代谢及用途。（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）甲氧氯普胺的结构、化学名称、理化性质、体内代谢及用途。（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）联苯双酯的结构、化学名称、理化性质、体内代谢及用途。</w:t>
      </w:r>
      <w:r>
        <w:rPr>
          <w:rFonts w:ascii="Times New Roman" w:hAnsi="Times New Roman" w:cs="Times New Roman"/>
          <w:kern w:val="2"/>
        </w:rPr>
        <w:t xml:space="preserve"> 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第八章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解热镇痛药和非甾体抗炎药</w:t>
      </w:r>
      <w:r>
        <w:rPr>
          <w:rFonts w:ascii="Times New Roman" w:hAnsi="Times New Roman" w:cs="Times New Roman"/>
          <w:b/>
          <w:kern w:val="2"/>
        </w:rPr>
        <w:t xml:space="preserve"> 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）阿司匹林衍生物的结构和特点</w:t>
      </w:r>
      <w:r>
        <w:rPr>
          <w:rFonts w:ascii="Times New Roman" w:hAnsi="Times New Roman" w:cs="Times New Roman"/>
          <w:b/>
        </w:rPr>
        <w:t>；</w:t>
      </w:r>
      <w:r>
        <w:rPr>
          <w:rFonts w:ascii="Times New Roman" w:hAnsi="Times New Roman" w:cs="Times New Roman"/>
          <w:kern w:val="2"/>
        </w:rPr>
        <w:t>COX-1</w:t>
      </w:r>
      <w:r>
        <w:rPr>
          <w:rFonts w:ascii="Times New Roman" w:hAnsi="Times New Roman" w:cs="Times New Roman"/>
          <w:kern w:val="2"/>
        </w:rPr>
        <w:t>和</w:t>
      </w:r>
      <w:r>
        <w:rPr>
          <w:rFonts w:ascii="Times New Roman" w:hAnsi="Times New Roman" w:cs="Times New Roman"/>
          <w:kern w:val="2"/>
        </w:rPr>
        <w:t>COX-2</w:t>
      </w:r>
      <w:r>
        <w:rPr>
          <w:rFonts w:ascii="Times New Roman" w:hAnsi="Times New Roman" w:cs="Times New Roman"/>
          <w:kern w:val="2"/>
        </w:rPr>
        <w:t>的结构的差别及其药理作用的特点。（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，</w:t>
      </w:r>
      <w:r>
        <w:rPr>
          <w:rFonts w:ascii="Times New Roman" w:hAnsi="Times New Roman" w:cs="Times New Roman"/>
          <w:kern w:val="2"/>
        </w:rPr>
        <w:t>5-</w:t>
      </w:r>
      <w:r>
        <w:rPr>
          <w:rFonts w:ascii="Times New Roman" w:hAnsi="Times New Roman" w:cs="Times New Roman"/>
          <w:kern w:val="2"/>
        </w:rPr>
        <w:t>吡唑烷二酮类药物的代谢物药物活性的变化，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，</w:t>
      </w:r>
      <w:r>
        <w:rPr>
          <w:rFonts w:ascii="Times New Roman" w:hAnsi="Times New Roman" w:cs="Times New Roman"/>
          <w:kern w:val="2"/>
        </w:rPr>
        <w:t>5-</w:t>
      </w:r>
      <w:r>
        <w:rPr>
          <w:rFonts w:ascii="Times New Roman" w:hAnsi="Times New Roman" w:cs="Times New Roman"/>
          <w:kern w:val="2"/>
        </w:rPr>
        <w:t>吡唑烷二酮类药物的结构与活性的关系。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</w:t>
      </w:r>
      <w:r>
        <w:rPr>
          <w:rFonts w:ascii="Times New Roman" w:hAnsi="Times New Roman" w:cs="Times New Roman"/>
          <w:b/>
          <w:kern w:val="2"/>
        </w:rPr>
        <w:t>九章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抗肿瘤药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）生物烷化剂的结构类型及作用机制。（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）盐酸氮芥、氮甲、塞替派、卡莫司汀、白消安、顺铂的结构、通用名、化学名及应用。（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）抗代谢药物的结构类型及作用机制。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第十章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抗生素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、运用或掌握：阿莫西林、头孢噻肟钠、氯霉素的结构、通用名、化学名、理化性质、合成方法、体内代谢及临床应用。</w:t>
      </w:r>
    </w:p>
    <w:p w:rsidR="00D260BB" w:rsidRDefault="00D260BB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第十一章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合成抗菌药物及其他抗感染药物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200" w:firstLine="480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、运用或掌握：（</w:t>
      </w: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）环丙沙星的结构、通用名、化学名、合成路线、理化性质、体内代谢及临床应用。（</w:t>
      </w: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）吡哌酸、诺氟沙星、氧氟沙星、左氧氟沙星的结构、通用名及临</w:t>
      </w:r>
      <w:r>
        <w:rPr>
          <w:rFonts w:ascii="Times New Roman" w:hAnsi="Times New Roman" w:cs="Times New Roman"/>
          <w:kern w:val="2"/>
        </w:rPr>
        <w:t>床应用。（</w:t>
      </w:r>
      <w:r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>）异烟肼、甲氧苄啶的结构、通用名、化学名、合</w:t>
      </w:r>
      <w:r>
        <w:rPr>
          <w:rFonts w:ascii="Times New Roman" w:hAnsi="Times New Roman" w:cs="Times New Roman"/>
          <w:kern w:val="2"/>
        </w:rPr>
        <w:lastRenderedPageBreak/>
        <w:t>成路线、理化性质、体内代谢及临床应用。（</w:t>
      </w:r>
      <w:r>
        <w:rPr>
          <w:rFonts w:ascii="Times New Roman" w:hAnsi="Times New Roman" w:cs="Times New Roman"/>
          <w:kern w:val="2"/>
        </w:rPr>
        <w:t>4</w:t>
      </w:r>
      <w:r>
        <w:rPr>
          <w:rFonts w:ascii="Times New Roman" w:hAnsi="Times New Roman" w:cs="Times New Roman"/>
          <w:kern w:val="2"/>
        </w:rPr>
        <w:t>）氟康唑、利巴韦林的结构、通用名、化学名、合成路线、理化性质、体内代谢及临床应用。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第十二章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利尿药及降血糖药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、识记：格列苯脲、盐酸二甲双胍的结构及应用。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kern w:val="2"/>
        </w:rPr>
        <w:t>2</w:t>
      </w:r>
      <w:r>
        <w:rPr>
          <w:rFonts w:ascii="Times New Roman" w:hAnsi="Times New Roman" w:cs="Times New Roman"/>
          <w:kern w:val="2"/>
        </w:rPr>
        <w:t>、运用或掌握：甲苯磺丁脲的结构、通用名、化学名、合成路线、理化性质、体内代谢及应用。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第十三章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激素类药物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、运用或掌握：雌二醇、醋酸地塞米松结构、通用名、化学名、合成路线、理化性质、体内代谢及作用。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第十四章</w:t>
      </w:r>
      <w:r>
        <w:rPr>
          <w:rFonts w:ascii="Times New Roman" w:hAnsi="Times New Roman" w:cs="Times New Roman"/>
          <w:b/>
          <w:kern w:val="2"/>
        </w:rPr>
        <w:t xml:space="preserve"> </w:t>
      </w:r>
      <w:r>
        <w:rPr>
          <w:rFonts w:ascii="Times New Roman" w:hAnsi="Times New Roman" w:cs="Times New Roman"/>
          <w:b/>
          <w:kern w:val="2"/>
        </w:rPr>
        <w:t>维生素</w:t>
      </w:r>
    </w:p>
    <w:p w:rsidR="00D260BB" w:rsidRDefault="00877A93" w:rsidP="00D260BB">
      <w:pPr>
        <w:pStyle w:val="a5"/>
        <w:spacing w:beforeLines="30" w:beforeAutospacing="0" w:afterLines="30" w:afterAutospacing="0" w:line="360" w:lineRule="auto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>、运用或掌握：维生素</w:t>
      </w:r>
      <w:r>
        <w:rPr>
          <w:rFonts w:ascii="Times New Roman" w:hAnsi="Times New Roman" w:cs="Times New Roman"/>
          <w:kern w:val="2"/>
        </w:rPr>
        <w:t>A</w:t>
      </w:r>
      <w:r>
        <w:rPr>
          <w:rFonts w:ascii="Times New Roman" w:hAnsi="Times New Roman" w:cs="Times New Roman"/>
          <w:kern w:val="2"/>
        </w:rPr>
        <w:t>醋酸酯，维生素</w:t>
      </w:r>
      <w:r>
        <w:rPr>
          <w:rFonts w:ascii="Times New Roman" w:hAnsi="Times New Roman" w:cs="Times New Roman"/>
          <w:kern w:val="2"/>
        </w:rPr>
        <w:t>C</w:t>
      </w:r>
      <w:r>
        <w:rPr>
          <w:rFonts w:ascii="Times New Roman" w:hAnsi="Times New Roman" w:cs="Times New Roman"/>
          <w:kern w:val="2"/>
        </w:rPr>
        <w:t>的结构、通用名、化学名、合成路线、理化性质、体内代谢及临床应用。</w:t>
      </w:r>
    </w:p>
    <w:p w:rsidR="00D260BB" w:rsidRDefault="00D260BB" w:rsidP="00D260BB">
      <w:pPr>
        <w:pStyle w:val="HTML"/>
        <w:spacing w:beforeLines="30" w:afterLines="30"/>
        <w:rPr>
          <w:rFonts w:ascii="Times New Roman" w:hAnsi="Times New Roman"/>
          <w:b/>
          <w:sz w:val="28"/>
          <w:szCs w:val="28"/>
        </w:rPr>
      </w:pPr>
    </w:p>
    <w:p w:rsidR="00D260BB" w:rsidRDefault="00877A93" w:rsidP="00D260BB">
      <w:pPr>
        <w:pStyle w:val="HTML"/>
        <w:spacing w:beforeLines="30" w:afterLines="30"/>
        <w:rPr>
          <w:rFonts w:ascii="Times New Roman" w:eastAsia="宋体" w:hAnsi="Times New Roman"/>
          <w:sz w:val="24"/>
        </w:rPr>
      </w:pPr>
      <w:r>
        <w:rPr>
          <w:rFonts w:ascii="Times New Roman" w:hAnsi="Times New Roman"/>
          <w:b/>
          <w:sz w:val="28"/>
          <w:szCs w:val="28"/>
        </w:rPr>
        <w:t>五、课程考核实施要求</w:t>
      </w:r>
    </w:p>
    <w:p w:rsidR="00D260BB" w:rsidRDefault="00877A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360" w:lineRule="auto"/>
        <w:ind w:firstLine="48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、考试方式及成绩评定：</w:t>
      </w:r>
      <w:r>
        <w:rPr>
          <w:rFonts w:ascii="Times New Roman" w:hAnsi="Times New Roman"/>
          <w:sz w:val="24"/>
        </w:rPr>
        <w:t>本考核大纲为药学专业专升本学生所用，考核方式为闭卷考试。考试时间为</w:t>
      </w:r>
      <w:r>
        <w:rPr>
          <w:rFonts w:ascii="Times New Roman" w:hAnsi="Times New Roman"/>
          <w:sz w:val="24"/>
        </w:rPr>
        <w:t>120</w:t>
      </w:r>
      <w:r>
        <w:rPr>
          <w:rFonts w:ascii="Times New Roman" w:hAnsi="Times New Roman"/>
          <w:sz w:val="24"/>
        </w:rPr>
        <w:t>分钟，满分为</w:t>
      </w:r>
      <w:r>
        <w:rPr>
          <w:rFonts w:ascii="Times New Roman" w:hAnsi="Times New Roman"/>
          <w:sz w:val="24"/>
        </w:rPr>
        <w:t>100</w:t>
      </w:r>
      <w:r>
        <w:rPr>
          <w:rFonts w:ascii="Times New Roman" w:hAnsi="Times New Roman"/>
          <w:sz w:val="24"/>
        </w:rPr>
        <w:t>分。</w:t>
      </w:r>
    </w:p>
    <w:p w:rsidR="00D260BB" w:rsidRDefault="00D260BB" w:rsidP="00D260BB">
      <w:pPr>
        <w:spacing w:beforeLines="30" w:afterLines="30"/>
        <w:ind w:firstLineChars="196" w:firstLine="470"/>
        <w:jc w:val="left"/>
        <w:rPr>
          <w:rFonts w:ascii="Times New Roman" w:hAnsi="Times New Roman"/>
          <w:sz w:val="24"/>
        </w:rPr>
      </w:pPr>
    </w:p>
    <w:p w:rsidR="00D260BB" w:rsidRDefault="00877A93" w:rsidP="00D260BB">
      <w:pPr>
        <w:pStyle w:val="HTML"/>
        <w:spacing w:beforeLines="30" w:afterLines="30" w:line="440" w:lineRule="exact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2</w:t>
      </w:r>
      <w:r>
        <w:rPr>
          <w:rFonts w:ascii="Times New Roman" w:eastAsia="宋体" w:hAnsi="Times New Roman"/>
          <w:sz w:val="24"/>
        </w:rPr>
        <w:t>、考试命题及分值分布</w:t>
      </w:r>
    </w:p>
    <w:p w:rsidR="00D260BB" w:rsidRDefault="00877A93" w:rsidP="00D260BB">
      <w:pPr>
        <w:pStyle w:val="HTML"/>
        <w:spacing w:beforeLines="30" w:afterLines="30" w:line="440" w:lineRule="exact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（</w:t>
      </w:r>
      <w:r>
        <w:rPr>
          <w:rFonts w:ascii="Times New Roman" w:eastAsia="宋体" w:hAnsi="Times New Roman"/>
          <w:sz w:val="24"/>
        </w:rPr>
        <w:t>1</w:t>
      </w:r>
      <w:r>
        <w:rPr>
          <w:rFonts w:ascii="Times New Roman" w:eastAsia="宋体" w:hAnsi="Times New Roman"/>
          <w:sz w:val="24"/>
        </w:rPr>
        <w:t>）本课程考试命题内容覆盖了教学大纲的全部内容；</w:t>
      </w:r>
    </w:p>
    <w:p w:rsidR="00D260BB" w:rsidRDefault="00877A93" w:rsidP="00D260BB">
      <w:pPr>
        <w:pStyle w:val="HTML"/>
        <w:spacing w:beforeLines="30" w:afterLines="30" w:line="440" w:lineRule="exact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（</w:t>
      </w:r>
      <w:r>
        <w:rPr>
          <w:rFonts w:ascii="Times New Roman" w:eastAsia="宋体" w:hAnsi="Times New Roman"/>
          <w:sz w:val="24"/>
        </w:rPr>
        <w:t>2</w:t>
      </w:r>
      <w:r>
        <w:rPr>
          <w:rFonts w:ascii="Times New Roman" w:eastAsia="宋体" w:hAnsi="Times New Roman"/>
          <w:sz w:val="24"/>
        </w:rPr>
        <w:t>）本课程考试试题类型有选择题（单选和多选）、配匹题、名词解释、填空题、简答题、案例分析等六种形式。其中选择题</w:t>
      </w:r>
      <w:r>
        <w:rPr>
          <w:rFonts w:ascii="Times New Roman" w:eastAsia="宋体" w:hAnsi="Times New Roman"/>
          <w:sz w:val="24"/>
        </w:rPr>
        <w:t>25</w:t>
      </w:r>
      <w:r>
        <w:rPr>
          <w:rFonts w:ascii="Times New Roman" w:eastAsia="宋体" w:hAnsi="Times New Roman"/>
          <w:sz w:val="24"/>
        </w:rPr>
        <w:t>％，配匹题</w:t>
      </w:r>
      <w:r>
        <w:rPr>
          <w:rFonts w:ascii="Times New Roman" w:eastAsia="宋体" w:hAnsi="Times New Roman"/>
          <w:sz w:val="24"/>
        </w:rPr>
        <w:t>10</w:t>
      </w:r>
      <w:r>
        <w:rPr>
          <w:rFonts w:ascii="Times New Roman" w:eastAsia="宋体" w:hAnsi="Times New Roman"/>
          <w:sz w:val="24"/>
        </w:rPr>
        <w:t>％，名词解释</w:t>
      </w:r>
      <w:r>
        <w:rPr>
          <w:rFonts w:ascii="Times New Roman" w:eastAsia="宋体" w:hAnsi="Times New Roman"/>
          <w:sz w:val="24"/>
        </w:rPr>
        <w:t>10%</w:t>
      </w:r>
      <w:r>
        <w:rPr>
          <w:rFonts w:ascii="Times New Roman" w:eastAsia="宋体" w:hAnsi="Times New Roman"/>
          <w:sz w:val="24"/>
        </w:rPr>
        <w:t>，简答题</w:t>
      </w:r>
      <w:r>
        <w:rPr>
          <w:rFonts w:ascii="Times New Roman" w:eastAsia="宋体" w:hAnsi="Times New Roman"/>
          <w:sz w:val="24"/>
        </w:rPr>
        <w:t>25%</w:t>
      </w:r>
      <w:r>
        <w:rPr>
          <w:rFonts w:ascii="Times New Roman" w:eastAsia="宋体" w:hAnsi="Times New Roman"/>
          <w:sz w:val="24"/>
        </w:rPr>
        <w:t>，案例分析</w:t>
      </w:r>
      <w:r>
        <w:rPr>
          <w:rFonts w:ascii="Times New Roman" w:eastAsia="宋体" w:hAnsi="Times New Roman"/>
          <w:sz w:val="24"/>
        </w:rPr>
        <w:t>15%</w:t>
      </w:r>
      <w:r>
        <w:rPr>
          <w:rFonts w:ascii="Times New Roman" w:eastAsia="宋体" w:hAnsi="Times New Roman"/>
          <w:sz w:val="24"/>
        </w:rPr>
        <w:t>。</w:t>
      </w:r>
      <w:bookmarkStart w:id="1" w:name="_GoBack"/>
      <w:bookmarkEnd w:id="1"/>
    </w:p>
    <w:p w:rsidR="00D260BB" w:rsidRDefault="00D260BB" w:rsidP="00D260BB">
      <w:pPr>
        <w:pStyle w:val="HTML"/>
        <w:spacing w:beforeLines="30" w:afterLines="30"/>
        <w:ind w:firstLineChars="200" w:firstLine="480"/>
        <w:rPr>
          <w:rFonts w:ascii="Times New Roman" w:eastAsia="宋体" w:hAnsi="Times New Roman"/>
          <w:sz w:val="24"/>
        </w:rPr>
      </w:pPr>
    </w:p>
    <w:p w:rsidR="00D260BB" w:rsidRDefault="00877A93" w:rsidP="00D260BB">
      <w:pPr>
        <w:pStyle w:val="HTML"/>
        <w:spacing w:beforeLines="30" w:afterLines="3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六、教材</w:t>
      </w:r>
    </w:p>
    <w:p w:rsidR="00D260BB" w:rsidRDefault="00877A93">
      <w:pPr>
        <w:widowControl/>
        <w:spacing w:line="440" w:lineRule="exact"/>
        <w:ind w:left="453"/>
        <w:jc w:val="left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4"/>
          <w:szCs w:val="20"/>
        </w:rPr>
        <w:t>尤启冬</w:t>
      </w:r>
      <w:r>
        <w:rPr>
          <w:rFonts w:ascii="Times New Roman" w:hAnsi="Times New Roman"/>
          <w:kern w:val="0"/>
          <w:sz w:val="24"/>
          <w:szCs w:val="20"/>
        </w:rPr>
        <w:t>.</w:t>
      </w:r>
      <w:r>
        <w:rPr>
          <w:rFonts w:ascii="Times New Roman" w:hAnsi="Times New Roman"/>
          <w:kern w:val="0"/>
          <w:sz w:val="24"/>
          <w:szCs w:val="20"/>
        </w:rPr>
        <w:t>药物化学</w:t>
      </w:r>
      <w:r>
        <w:rPr>
          <w:rFonts w:ascii="Times New Roman" w:hAnsi="Times New Roman"/>
          <w:kern w:val="0"/>
          <w:sz w:val="24"/>
          <w:szCs w:val="20"/>
        </w:rPr>
        <w:t>(</w:t>
      </w:r>
      <w:r>
        <w:rPr>
          <w:rFonts w:ascii="Times New Roman" w:hAnsi="Times New Roman"/>
          <w:kern w:val="0"/>
          <w:sz w:val="24"/>
          <w:szCs w:val="20"/>
        </w:rPr>
        <w:t>第</w:t>
      </w:r>
      <w:r>
        <w:rPr>
          <w:rFonts w:ascii="Times New Roman" w:hAnsi="Times New Roman"/>
          <w:kern w:val="0"/>
          <w:sz w:val="24"/>
          <w:szCs w:val="20"/>
        </w:rPr>
        <w:t>8</w:t>
      </w:r>
      <w:r>
        <w:rPr>
          <w:rFonts w:ascii="Times New Roman" w:hAnsi="Times New Roman"/>
          <w:kern w:val="0"/>
          <w:sz w:val="24"/>
          <w:szCs w:val="20"/>
        </w:rPr>
        <w:t>版</w:t>
      </w:r>
      <w:r>
        <w:rPr>
          <w:rFonts w:ascii="Times New Roman" w:hAnsi="Times New Roman"/>
          <w:kern w:val="0"/>
          <w:sz w:val="24"/>
          <w:szCs w:val="20"/>
        </w:rPr>
        <w:t>)[M].</w:t>
      </w:r>
      <w:r>
        <w:rPr>
          <w:rFonts w:ascii="Times New Roman" w:hAnsi="Times New Roman"/>
          <w:kern w:val="0"/>
          <w:sz w:val="24"/>
          <w:szCs w:val="20"/>
        </w:rPr>
        <w:t>北京：人民卫生出版社，</w:t>
      </w:r>
      <w:r>
        <w:rPr>
          <w:rFonts w:ascii="Times New Roman" w:hAnsi="Times New Roman"/>
          <w:kern w:val="0"/>
          <w:sz w:val="24"/>
          <w:szCs w:val="20"/>
        </w:rPr>
        <w:t>2017</w:t>
      </w:r>
      <w:r>
        <w:rPr>
          <w:rFonts w:ascii="Times New Roman" w:hAnsi="Times New Roman"/>
          <w:kern w:val="0"/>
          <w:sz w:val="24"/>
          <w:szCs w:val="20"/>
        </w:rPr>
        <w:t>年</w:t>
      </w:r>
      <w:r>
        <w:rPr>
          <w:rFonts w:ascii="Times New Roman" w:hAnsi="Times New Roman"/>
          <w:kern w:val="0"/>
          <w:sz w:val="24"/>
          <w:szCs w:val="20"/>
        </w:rPr>
        <w:t>4</w:t>
      </w:r>
      <w:r>
        <w:rPr>
          <w:rFonts w:ascii="Times New Roman" w:hAnsi="Times New Roman"/>
          <w:kern w:val="0"/>
          <w:sz w:val="24"/>
          <w:szCs w:val="20"/>
        </w:rPr>
        <w:t>月第</w:t>
      </w:r>
      <w:r>
        <w:rPr>
          <w:rFonts w:ascii="Times New Roman" w:hAnsi="Times New Roman"/>
          <w:kern w:val="0"/>
          <w:sz w:val="24"/>
          <w:szCs w:val="20"/>
        </w:rPr>
        <w:t>8</w:t>
      </w:r>
      <w:r>
        <w:rPr>
          <w:rFonts w:ascii="Times New Roman" w:hAnsi="Times New Roman"/>
          <w:kern w:val="0"/>
          <w:sz w:val="24"/>
          <w:szCs w:val="20"/>
        </w:rPr>
        <w:t>版第</w:t>
      </w:r>
      <w:r>
        <w:rPr>
          <w:rFonts w:ascii="Times New Roman" w:hAnsi="Times New Roman"/>
          <w:kern w:val="0"/>
          <w:sz w:val="24"/>
          <w:szCs w:val="20"/>
        </w:rPr>
        <w:t>2</w:t>
      </w:r>
      <w:r>
        <w:rPr>
          <w:rFonts w:ascii="Times New Roman" w:hAnsi="Times New Roman"/>
          <w:kern w:val="0"/>
          <w:sz w:val="24"/>
          <w:szCs w:val="20"/>
        </w:rPr>
        <w:t>次印刷。</w:t>
      </w:r>
    </w:p>
    <w:sectPr w:rsidR="00D260BB" w:rsidSect="00D260B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0BB" w:rsidRDefault="00D260BB" w:rsidP="00D260BB">
      <w:r>
        <w:separator/>
      </w:r>
    </w:p>
  </w:endnote>
  <w:endnote w:type="continuationSeparator" w:id="0">
    <w:p w:rsidR="00D260BB" w:rsidRDefault="00D260BB" w:rsidP="00D2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977089"/>
      <w:docPartObj>
        <w:docPartGallery w:val="AutoText"/>
      </w:docPartObj>
    </w:sdtPr>
    <w:sdtContent>
      <w:p w:rsidR="00D260BB" w:rsidRDefault="00D260BB">
        <w:pPr>
          <w:pStyle w:val="a3"/>
          <w:jc w:val="center"/>
        </w:pPr>
        <w:r w:rsidRPr="00D260BB">
          <w:fldChar w:fldCharType="begin"/>
        </w:r>
        <w:r w:rsidR="00877A93">
          <w:instrText xml:space="preserve"> PAGE   \* MERGEFORMAT </w:instrText>
        </w:r>
        <w:r w:rsidRPr="00D260BB">
          <w:fldChar w:fldCharType="separate"/>
        </w:r>
        <w:r w:rsidR="00877A93" w:rsidRPr="00877A93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D260BB" w:rsidRDefault="00D260B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0BB" w:rsidRDefault="00D260BB" w:rsidP="00D260BB">
      <w:r>
        <w:separator/>
      </w:r>
    </w:p>
  </w:footnote>
  <w:footnote w:type="continuationSeparator" w:id="0">
    <w:p w:rsidR="00D260BB" w:rsidRDefault="00D260BB" w:rsidP="00D260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E7F"/>
    <w:rsid w:val="0018620A"/>
    <w:rsid w:val="001C7337"/>
    <w:rsid w:val="002E5AE0"/>
    <w:rsid w:val="004B5DFA"/>
    <w:rsid w:val="004D00D7"/>
    <w:rsid w:val="006E5E7F"/>
    <w:rsid w:val="00783E0F"/>
    <w:rsid w:val="00841663"/>
    <w:rsid w:val="00877A93"/>
    <w:rsid w:val="008E2497"/>
    <w:rsid w:val="00916538"/>
    <w:rsid w:val="009C3238"/>
    <w:rsid w:val="009C5BF6"/>
    <w:rsid w:val="009F50B6"/>
    <w:rsid w:val="00A5269D"/>
    <w:rsid w:val="00A83469"/>
    <w:rsid w:val="00AA2901"/>
    <w:rsid w:val="00AE3A1D"/>
    <w:rsid w:val="00BC0B95"/>
    <w:rsid w:val="00BD462B"/>
    <w:rsid w:val="00D260BB"/>
    <w:rsid w:val="00D96217"/>
    <w:rsid w:val="00DA7E6D"/>
    <w:rsid w:val="00E11237"/>
    <w:rsid w:val="00ED577C"/>
    <w:rsid w:val="00EF1F02"/>
    <w:rsid w:val="00F01A44"/>
    <w:rsid w:val="00FD4C7C"/>
    <w:rsid w:val="39F66D36"/>
    <w:rsid w:val="4D16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B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D260BB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26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6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D260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5">
    <w:name w:val="Normal (Web)"/>
    <w:basedOn w:val="a"/>
    <w:uiPriority w:val="99"/>
    <w:unhideWhenUsed/>
    <w:qFormat/>
    <w:rsid w:val="00D260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9"/>
    <w:rsid w:val="00D260B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Char">
    <w:name w:val="HTML 预设格式 Char"/>
    <w:basedOn w:val="a0"/>
    <w:link w:val="HTML"/>
    <w:uiPriority w:val="99"/>
    <w:rsid w:val="00D260BB"/>
    <w:rPr>
      <w:rFonts w:ascii="黑体" w:eastAsia="黑体" w:hAnsi="Courier New" w:cs="Times New Roman"/>
      <w:kern w:val="0"/>
      <w:sz w:val="20"/>
      <w:szCs w:val="20"/>
    </w:rPr>
  </w:style>
  <w:style w:type="character" w:customStyle="1" w:styleId="Char0">
    <w:name w:val="页眉 Char"/>
    <w:basedOn w:val="a0"/>
    <w:link w:val="a4"/>
    <w:uiPriority w:val="99"/>
    <w:semiHidden/>
    <w:qFormat/>
    <w:rsid w:val="00D260BB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260B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2017-02-18T03:50:00Z</dcterms:created>
  <dcterms:modified xsi:type="dcterms:W3CDTF">2022-03-19T13:21:00Z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DCF72593BA87484B86B49BF8A85237E8</vt:lpwstr>
  </property>
</Properties>
</file>