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财务管理专业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《财务管理》科目考试要求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本科目考试内容涵盖财务管理总论、货币时间价值、风险管理、筹资管理、投资管理、营运资金管理、分配管理、财务分析等方面的内容，主要考察考生对基本知识和基本方法的理解、掌握程度，在领会的基础上，能用所学的知识点作出财务管理的相</w:t>
      </w:r>
      <w:bookmarkStart w:id="0" w:name="_GoBack"/>
      <w:bookmarkEnd w:id="0"/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关决策，能综合运用所学财务管理的知识，具备从事经济管理工作所必备的财务管理业务知识和工作能力。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一、财务管理总论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财务管理的概念及研究内容，财务管理目标的各种观点、各种目标的优缺点分析及应用，财务管理体制，财务管理环节以及影响企业财务管理活动的环境因素。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1.识记：财务管理的概念及研究内容、财务管理目标的各种观点，财务管理体制的一般模式及其优缺点，财务管理原则。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2.了解：影响企业财务管理活动的环境因素、财务管理环节。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3.简单应用：财务管理各种目标的优缺点分析及应用，财务管理体制的实践。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二、货币时间价值</w:t>
      </w:r>
      <w:r>
        <w:rPr>
          <w:rFonts w:hint="eastAsia" w:ascii="宋体" w:hAnsi="宋体" w:cs="宋体"/>
          <w:b/>
          <w:bCs/>
          <w:sz w:val="28"/>
          <w:szCs w:val="28"/>
        </w:rPr>
        <w:tab/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现值与终值的概念与计算、年金的含义及种类、普通年金终值和现值的计算、预付年金终值与现值的计算、延期年金终值与现值的计算、永续年金终值与现值的计算、风险的分类、风险衡量、单项资产风险报酬的计算、证券投资组合报酬与风险的衡量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1.识记：现值、终值、年金（普通年金、预付年金、递延年金和永续年金）、风险的含义。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2.了解：资产组合风险的衡量方法。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3.简单应用：现值、终值、年金（普通年金、预付年金、递延年金和永续年金）、单项资产风险的计算，证券投资组合报酬与风险的衡量。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三、筹资管理（上）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筹资管理概述；长期筹资的动机、原则、渠道和类型；普通股的分类与普通股筹资的优缺点；长期借款的种类、银行借款的信用条件、长期借款筹资的优缺点；债券的种类与债券筹资的优缺点；租赁的种类、融资租赁租金的测算方法、融资租赁筹资优缺点；掌握可转换债券的特性、转换期限、转换价格和转换比率、可转换债券筹资的优缺点；认股权证的含义、特点和作用；筹资实务创新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1.识记：吸收直接投资、留存收益、普通股筹资、银行借款筹资、债券筹资、融资租赁筹资、可转换债券筹资、优先股筹资的优缺点。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2.了解：认股权证的含义、特点和作用，筹资实务创新。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3.简单应用：融资租赁租金的测算方法。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四、筹资管理（下）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资金需要量预测；资本结构理论的含义、个别资本成本的计算、加权平均成本的计算；经营杠杆、财务杠杆、复合杠杆的计算及经济意义；最佳资本结构及其应用。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1.识记：个别资本成本的计算，加权平均成本的计算、经营杠杆、财务杠杆、复合杠杆的经济意义。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2.了解：资本结构理论的含义。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3.简单应用：资金需要量预测，加权平均成本的计算、经营杠杆、财务杠杆、复合杠杆的计算、资本成本的计算及应用，最佳资本结构及其应用。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五、投资管理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投资管理概述；现金流量的预测原则和方法、净现值、年金净流量、现值指数、内含收益率、投资回收期等项目评价指标的计算和评价标准、独立项目、互斥项目投资决策的分析过程和分析方法，固定资产更新决策；证券投资管理；基金投资与期权投资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1.识记：现金流量的概念与构成，净现值法、现值指数法、内含报酬率法、投资回收期、年金净流量的含义及优缺点。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2.了解：现值法、现值指数法、内含报酬率法、投资回收期、年金净流量等指标计算。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 w:cs="黑体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3.简单应用：独立项目、互斥项目投资决策的分析过程和分析方法进行项目投资决策，固定资产更新决策。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六、营运资金管理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营运资金管理概述；现金管理；存货管理；应收账款管理；流动负债管理。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1.识记：现金管理；存货管理；应收账款管理；流动负债管理。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2.了解：营运资金管理概述。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 w:cs="黑体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3.简单应用：最佳现金持有量的计算、经济批量的基本模型和扩展模型的运用、存货经济订货批量的计算、信用政策决策等。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七、分配管理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股利及其分配；股利理论；股利政策及其选择；股票分割与股利回购。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识记：剩余股利政策、固定股利政策、稳定增长股利政策、固定股利支付率政策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2.了解：利润分配制约因素、股利理论、股票分割与股利回购、股权激励。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3.简单应用：股利政策及其选择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八、财务分析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财务分析概述；基本的财务报表分析、上市公司财务分析；财务评价与考核。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1.识记：财务分析的方法、财务分析的局限性。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2.了解：财务分析的定义、分析的主体及其目的。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3.应用：基本财务报表分析指标计算、上市公司财务分析指标计算，综合财务分析方法的应用，财务案例分析。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4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考试采用闭卷、笔试形式。试卷满分200分，考试时间150分钟。可使用不带存储功能的计算器。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color w:val="000000"/>
        </w:rPr>
      </w:pP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试卷包括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单选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题、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多选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题、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简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答题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、计算分析题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。其中，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单选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40分；多选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40分；简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答题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20分；计算分析题100分。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1、《财务管理学》（第8版），荆新、王化成、刘俊彦主编，中国人民大学出版社；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2、《财务管理》财政部会计资格评价中心编，经济科学出版社（2023年中级会计师考试教材）。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6FA0"/>
    <w:rsid w:val="0009554E"/>
    <w:rsid w:val="0011313A"/>
    <w:rsid w:val="001141CE"/>
    <w:rsid w:val="0022760F"/>
    <w:rsid w:val="002A649E"/>
    <w:rsid w:val="002C61A5"/>
    <w:rsid w:val="002E3B5B"/>
    <w:rsid w:val="0035012B"/>
    <w:rsid w:val="003A34FF"/>
    <w:rsid w:val="003E4BE9"/>
    <w:rsid w:val="004C7D14"/>
    <w:rsid w:val="004E20FB"/>
    <w:rsid w:val="00555B96"/>
    <w:rsid w:val="0059302E"/>
    <w:rsid w:val="005C1FAA"/>
    <w:rsid w:val="005D1E0D"/>
    <w:rsid w:val="00655CC1"/>
    <w:rsid w:val="006E04C3"/>
    <w:rsid w:val="007700AA"/>
    <w:rsid w:val="007B513C"/>
    <w:rsid w:val="0080451B"/>
    <w:rsid w:val="00806180"/>
    <w:rsid w:val="00823499"/>
    <w:rsid w:val="008A28E2"/>
    <w:rsid w:val="008B2BB6"/>
    <w:rsid w:val="00911FD1"/>
    <w:rsid w:val="00A67CB5"/>
    <w:rsid w:val="00B47B04"/>
    <w:rsid w:val="00B8439F"/>
    <w:rsid w:val="00CA7ACA"/>
    <w:rsid w:val="00CC005C"/>
    <w:rsid w:val="00D07240"/>
    <w:rsid w:val="00E060CC"/>
    <w:rsid w:val="00E30FCE"/>
    <w:rsid w:val="00E87585"/>
    <w:rsid w:val="00EC7DEC"/>
    <w:rsid w:val="00ED4569"/>
    <w:rsid w:val="00F020CD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28F5351"/>
    <w:rsid w:val="12993026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E04320"/>
    <w:rsid w:val="21837F15"/>
    <w:rsid w:val="21E43EE3"/>
    <w:rsid w:val="22D511AF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C0B2CBB"/>
    <w:rsid w:val="6D12227C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9">
    <w:name w:val="正文文本缩进 3 New"/>
    <w:basedOn w:val="8"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0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320</Words>
  <Characters>1828</Characters>
  <Lines>15</Lines>
  <Paragraphs>4</Paragraphs>
  <TotalTime>8</TotalTime>
  <ScaleCrop>false</ScaleCrop>
  <LinksUpToDate>false</LinksUpToDate>
  <CharactersWithSpaces>2144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Administrator</dc:creator>
  <cp:lastModifiedBy>周攀登</cp:lastModifiedBy>
  <cp:lastPrinted>2022-03-04T02:10:00Z</cp:lastPrinted>
  <dcterms:modified xsi:type="dcterms:W3CDTF">2024-03-03T07:30:28Z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345BF8E5ECB2478B90861653F82B0A68_13</vt:lpwstr>
  </property>
</Properties>
</file>